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7915" w14:textId="1CF4DC2B" w:rsidR="00F06098" w:rsidRDefault="00F06098">
      <w:pPr>
        <w:rPr>
          <w:b/>
          <w:bCs/>
          <w:lang w:val="nl-BE"/>
        </w:rPr>
      </w:pPr>
      <w:r>
        <w:rPr>
          <w:b/>
          <w:bCs/>
          <w:noProof/>
          <w:lang w:val="nl-BE"/>
        </w:rPr>
        <w:drawing>
          <wp:inline distT="0" distB="0" distL="0" distR="0" wp14:anchorId="31F38DBE" wp14:editId="7B80FE6F">
            <wp:extent cx="5905500" cy="1181100"/>
            <wp:effectExtent l="0" t="0" r="0" b="0"/>
            <wp:docPr id="155884757"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757" name="Picture 1" descr="A white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05500" cy="1181100"/>
                    </a:xfrm>
                    <a:prstGeom prst="rect">
                      <a:avLst/>
                    </a:prstGeom>
                  </pic:spPr>
                </pic:pic>
              </a:graphicData>
            </a:graphic>
          </wp:inline>
        </w:drawing>
      </w:r>
    </w:p>
    <w:p w14:paraId="2326F487" w14:textId="77777777" w:rsidR="00D825BB" w:rsidRDefault="00D825BB">
      <w:pPr>
        <w:rPr>
          <w:b/>
          <w:bCs/>
          <w:sz w:val="32"/>
          <w:szCs w:val="32"/>
          <w:lang w:val="nl-BE"/>
        </w:rPr>
      </w:pPr>
    </w:p>
    <w:p w14:paraId="379633AE" w14:textId="40E16D32" w:rsidR="00907013" w:rsidRPr="00D825BB" w:rsidRDefault="000A79BE" w:rsidP="00D825BB">
      <w:pPr>
        <w:jc w:val="center"/>
        <w:rPr>
          <w:b/>
          <w:bCs/>
          <w:sz w:val="36"/>
          <w:szCs w:val="36"/>
          <w:lang w:val="nl-BE"/>
        </w:rPr>
      </w:pPr>
      <w:r w:rsidRPr="00D825BB">
        <w:rPr>
          <w:b/>
          <w:bCs/>
          <w:sz w:val="36"/>
          <w:szCs w:val="36"/>
          <w:lang w:val="nl-BE"/>
        </w:rPr>
        <w:t>MEUBELBEURS</w:t>
      </w:r>
      <w:r w:rsidR="007239E7" w:rsidRPr="00D825BB">
        <w:rPr>
          <w:b/>
          <w:bCs/>
          <w:sz w:val="36"/>
          <w:szCs w:val="36"/>
          <w:lang w:val="nl-BE"/>
        </w:rPr>
        <w:t xml:space="preserve"> BRUSSEL 2023</w:t>
      </w:r>
      <w:r w:rsidRPr="00D825BB">
        <w:rPr>
          <w:b/>
          <w:bCs/>
          <w:sz w:val="36"/>
          <w:szCs w:val="36"/>
          <w:lang w:val="nl-BE"/>
        </w:rPr>
        <w:t xml:space="preserve"> </w:t>
      </w:r>
      <w:r w:rsidR="007239E7" w:rsidRPr="00D825BB">
        <w:rPr>
          <w:b/>
          <w:bCs/>
          <w:sz w:val="36"/>
          <w:szCs w:val="36"/>
          <w:lang w:val="nl-BE"/>
        </w:rPr>
        <w:t>–</w:t>
      </w:r>
      <w:r w:rsidRPr="00D825BB">
        <w:rPr>
          <w:b/>
          <w:bCs/>
          <w:sz w:val="36"/>
          <w:szCs w:val="36"/>
          <w:lang w:val="nl-BE"/>
        </w:rPr>
        <w:t xml:space="preserve"> </w:t>
      </w:r>
      <w:r w:rsidR="00605668" w:rsidRPr="00D825BB">
        <w:rPr>
          <w:b/>
          <w:bCs/>
          <w:sz w:val="36"/>
          <w:szCs w:val="36"/>
          <w:lang w:val="nl-BE"/>
        </w:rPr>
        <w:t>PERSCONFERENTIE</w:t>
      </w:r>
    </w:p>
    <w:p w14:paraId="2839E86D" w14:textId="77777777" w:rsidR="00907013" w:rsidRDefault="00907013">
      <w:pPr>
        <w:rPr>
          <w:b/>
          <w:bCs/>
          <w:lang w:val="nl-BE"/>
        </w:rPr>
      </w:pPr>
    </w:p>
    <w:p w14:paraId="65A4B901" w14:textId="58C5A8AD" w:rsidR="00907013" w:rsidRPr="00907013" w:rsidRDefault="00D825BB" w:rsidP="00907013">
      <w:pPr>
        <w:pStyle w:val="ListParagraph"/>
        <w:numPr>
          <w:ilvl w:val="0"/>
          <w:numId w:val="23"/>
        </w:numPr>
        <w:rPr>
          <w:b/>
          <w:bCs/>
          <w:lang w:val="nl-BE"/>
        </w:rPr>
      </w:pPr>
      <w:r w:rsidRPr="00907013">
        <w:rPr>
          <w:b/>
          <w:bCs/>
          <w:lang w:val="nl-BE"/>
        </w:rPr>
        <w:t>Welkomstwoord</w:t>
      </w:r>
      <w:r w:rsidR="00907013" w:rsidRPr="00907013">
        <w:rPr>
          <w:b/>
          <w:bCs/>
          <w:lang w:val="nl-BE"/>
        </w:rPr>
        <w:t xml:space="preserve"> door Glenn De Maeseneer, directeur Meubelbeurs Brussel</w:t>
      </w:r>
    </w:p>
    <w:p w14:paraId="314B87B4" w14:textId="24D9FD3F" w:rsidR="00907013" w:rsidRPr="00907013" w:rsidRDefault="00D825BB" w:rsidP="00907013">
      <w:pPr>
        <w:pStyle w:val="ListParagraph"/>
        <w:numPr>
          <w:ilvl w:val="0"/>
          <w:numId w:val="23"/>
        </w:numPr>
        <w:rPr>
          <w:b/>
          <w:bCs/>
          <w:lang w:val="nl-BE"/>
        </w:rPr>
      </w:pPr>
      <w:r>
        <w:rPr>
          <w:b/>
          <w:bCs/>
          <w:lang w:val="nl-BE"/>
        </w:rPr>
        <w:t>Conjunctuurnota 2023,</w:t>
      </w:r>
      <w:r w:rsidR="00907013" w:rsidRPr="00907013">
        <w:rPr>
          <w:b/>
          <w:bCs/>
          <w:lang w:val="nl-BE"/>
        </w:rPr>
        <w:t xml:space="preserve"> presentatie door Filip De Jaeger, COO Fedustria</w:t>
      </w:r>
    </w:p>
    <w:p w14:paraId="27B29806" w14:textId="77777777" w:rsidR="00907013" w:rsidRDefault="00907013">
      <w:pPr>
        <w:rPr>
          <w:b/>
          <w:bCs/>
          <w:lang w:val="nl-BE"/>
        </w:rPr>
      </w:pPr>
    </w:p>
    <w:p w14:paraId="12E3CA42" w14:textId="77777777" w:rsidR="00907013" w:rsidRPr="00A81DD0" w:rsidRDefault="00907013" w:rsidP="00907013">
      <w:pPr>
        <w:pStyle w:val="Heading7"/>
        <w:pBdr>
          <w:top w:val="single" w:sz="4" w:space="1" w:color="auto"/>
          <w:left w:val="single" w:sz="4" w:space="1" w:color="auto"/>
          <w:bottom w:val="single" w:sz="4" w:space="1" w:color="auto"/>
          <w:right w:val="single" w:sz="4" w:space="1" w:color="auto"/>
        </w:pBdr>
        <w:jc w:val="center"/>
        <w:rPr>
          <w:rFonts w:asciiTheme="minorHAnsi" w:hAnsiTheme="minorHAnsi" w:cstheme="minorHAnsi"/>
          <w:b/>
          <w:i w:val="0"/>
          <w:color w:val="auto"/>
          <w:sz w:val="36"/>
          <w:szCs w:val="36"/>
        </w:rPr>
      </w:pPr>
      <w:r w:rsidRPr="00A81DD0">
        <w:rPr>
          <w:rFonts w:asciiTheme="minorHAnsi" w:hAnsiTheme="minorHAnsi" w:cstheme="minorHAnsi"/>
          <w:b/>
          <w:i w:val="0"/>
          <w:color w:val="auto"/>
          <w:sz w:val="36"/>
          <w:szCs w:val="36"/>
        </w:rPr>
        <w:t>De Belgische meubelindustrie in 202</w:t>
      </w:r>
      <w:r>
        <w:rPr>
          <w:rFonts w:asciiTheme="minorHAnsi" w:hAnsiTheme="minorHAnsi" w:cstheme="minorHAnsi"/>
          <w:b/>
          <w:i w:val="0"/>
          <w:color w:val="auto"/>
          <w:sz w:val="36"/>
          <w:szCs w:val="36"/>
        </w:rPr>
        <w:t>3</w:t>
      </w:r>
      <w:r w:rsidRPr="00A81DD0">
        <w:rPr>
          <w:rFonts w:asciiTheme="minorHAnsi" w:hAnsiTheme="minorHAnsi" w:cstheme="minorHAnsi"/>
          <w:b/>
          <w:i w:val="0"/>
          <w:color w:val="auto"/>
          <w:sz w:val="36"/>
          <w:szCs w:val="36"/>
        </w:rPr>
        <w:t xml:space="preserve">: </w:t>
      </w:r>
    </w:p>
    <w:p w14:paraId="47D2FFF9" w14:textId="77777777" w:rsidR="00907013" w:rsidRPr="00907013" w:rsidRDefault="00907013" w:rsidP="00907013">
      <w:pPr>
        <w:pBdr>
          <w:top w:val="single" w:sz="4" w:space="1" w:color="auto"/>
          <w:left w:val="single" w:sz="4" w:space="1" w:color="auto"/>
          <w:bottom w:val="single" w:sz="4" w:space="1" w:color="auto"/>
          <w:right w:val="single" w:sz="4" w:space="1" w:color="auto"/>
        </w:pBdr>
        <w:jc w:val="center"/>
        <w:rPr>
          <w:rFonts w:cstheme="minorHAnsi"/>
          <w:lang w:val="nl-BE"/>
        </w:rPr>
      </w:pPr>
      <w:r w:rsidRPr="00907013">
        <w:rPr>
          <w:b/>
          <w:bCs/>
          <w:sz w:val="36"/>
          <w:szCs w:val="36"/>
          <w:lang w:val="nl-BE"/>
        </w:rPr>
        <w:t>Uitdagende marktomstandigheden</w:t>
      </w:r>
    </w:p>
    <w:p w14:paraId="04B2BD91" w14:textId="77777777" w:rsidR="00907013" w:rsidRPr="00907013" w:rsidRDefault="00907013" w:rsidP="00907013">
      <w:pPr>
        <w:rPr>
          <w:rFonts w:cstheme="minorHAnsi"/>
          <w:lang w:val="nl-BE"/>
        </w:rPr>
      </w:pPr>
    </w:p>
    <w:p w14:paraId="581F0970" w14:textId="77777777" w:rsidR="00907013" w:rsidRPr="00A81DD0" w:rsidRDefault="00907013" w:rsidP="00907013">
      <w:pPr>
        <w:rPr>
          <w:rFonts w:cstheme="minorHAnsi"/>
          <w:b/>
          <w:u w:val="single"/>
        </w:rPr>
      </w:pPr>
      <w:r w:rsidRPr="00A81DD0">
        <w:rPr>
          <w:rFonts w:cstheme="minorHAnsi"/>
          <w:b/>
          <w:u w:val="single"/>
        </w:rPr>
        <w:t>De Belgische meubelindustrie</w:t>
      </w:r>
    </w:p>
    <w:p w14:paraId="39B9FC82" w14:textId="77777777" w:rsidR="00907013" w:rsidRPr="00A81DD0" w:rsidRDefault="00907013" w:rsidP="00907013">
      <w:pPr>
        <w:rPr>
          <w:rFonts w:cstheme="minorHAnsi"/>
        </w:rPr>
      </w:pPr>
    </w:p>
    <w:p w14:paraId="2F18D381" w14:textId="77777777" w:rsidR="00907013" w:rsidRPr="00A81DD0" w:rsidRDefault="00907013" w:rsidP="00907013">
      <w:pPr>
        <w:pBdr>
          <w:top w:val="single" w:sz="4" w:space="1" w:color="auto"/>
          <w:left w:val="single" w:sz="4" w:space="1" w:color="auto"/>
          <w:bottom w:val="single" w:sz="4" w:space="1" w:color="auto"/>
          <w:right w:val="single" w:sz="4" w:space="1" w:color="auto"/>
        </w:pBdr>
        <w:rPr>
          <w:b/>
          <w:bCs/>
        </w:rPr>
      </w:pPr>
      <w:r w:rsidRPr="4A2E2FB5">
        <w:rPr>
          <w:b/>
          <w:bCs/>
        </w:rPr>
        <w:t>Kerncijfers (2022)</w:t>
      </w:r>
    </w:p>
    <w:p w14:paraId="6676D241" w14:textId="77777777" w:rsidR="00907013" w:rsidRPr="00A81DD0" w:rsidRDefault="00907013" w:rsidP="00907013">
      <w:pPr>
        <w:pBdr>
          <w:top w:val="single" w:sz="4" w:space="1" w:color="auto"/>
          <w:left w:val="single" w:sz="4" w:space="1" w:color="auto"/>
          <w:bottom w:val="single" w:sz="4" w:space="1" w:color="auto"/>
          <w:right w:val="single" w:sz="4" w:space="1" w:color="auto"/>
        </w:pBdr>
        <w:rPr>
          <w:rFonts w:cstheme="minorHAnsi"/>
          <w:b/>
          <w:sz w:val="14"/>
        </w:rPr>
      </w:pPr>
    </w:p>
    <w:p w14:paraId="776CF202" w14:textId="77777777" w:rsidR="00907013" w:rsidRPr="00A81DD0" w:rsidRDefault="00907013" w:rsidP="00907013">
      <w:pPr>
        <w:pStyle w:val="ListParagraph"/>
        <w:numPr>
          <w:ilvl w:val="0"/>
          <w:numId w:val="21"/>
        </w:numPr>
        <w:pBdr>
          <w:top w:val="single" w:sz="4" w:space="1" w:color="auto"/>
          <w:left w:val="single" w:sz="4" w:space="1" w:color="auto"/>
          <w:bottom w:val="single" w:sz="4" w:space="1" w:color="auto"/>
          <w:right w:val="single" w:sz="4" w:space="1" w:color="auto"/>
        </w:pBdr>
        <w:spacing w:after="0" w:line="240" w:lineRule="auto"/>
        <w:ind w:left="284" w:hanging="284"/>
        <w:rPr>
          <w:b/>
          <w:bCs/>
        </w:rPr>
      </w:pPr>
      <w:r w:rsidRPr="107FA6C5">
        <w:rPr>
          <w:b/>
          <w:bCs/>
        </w:rPr>
        <w:t>722 bedrijven</w:t>
      </w:r>
    </w:p>
    <w:p w14:paraId="298D343C" w14:textId="77777777" w:rsidR="00907013" w:rsidRPr="00A81DD0" w:rsidRDefault="00907013" w:rsidP="00907013">
      <w:pPr>
        <w:pStyle w:val="ListParagraph"/>
        <w:numPr>
          <w:ilvl w:val="0"/>
          <w:numId w:val="21"/>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Pr>
          <w:rFonts w:cstheme="minorHAnsi"/>
          <w:b/>
        </w:rPr>
        <w:t>9.763</w:t>
      </w:r>
      <w:r w:rsidRPr="00A81DD0">
        <w:rPr>
          <w:rFonts w:cstheme="minorHAnsi"/>
          <w:b/>
        </w:rPr>
        <w:t xml:space="preserve"> werknemers</w:t>
      </w:r>
    </w:p>
    <w:p w14:paraId="29199EDD" w14:textId="77777777" w:rsidR="00907013" w:rsidRDefault="00907013" w:rsidP="00907013">
      <w:pPr>
        <w:pStyle w:val="ListParagraph"/>
        <w:numPr>
          <w:ilvl w:val="0"/>
          <w:numId w:val="21"/>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sidRPr="00A81DD0">
        <w:rPr>
          <w:rFonts w:cstheme="minorHAnsi"/>
          <w:b/>
        </w:rPr>
        <w:t>Omzet: 2,</w:t>
      </w:r>
      <w:r>
        <w:rPr>
          <w:rFonts w:cstheme="minorHAnsi"/>
          <w:b/>
        </w:rPr>
        <w:t>3</w:t>
      </w:r>
      <w:r w:rsidRPr="00A81DD0">
        <w:rPr>
          <w:rFonts w:cstheme="minorHAnsi"/>
          <w:b/>
        </w:rPr>
        <w:t xml:space="preserve"> miljard euro</w:t>
      </w:r>
    </w:p>
    <w:p w14:paraId="56F05F8C" w14:textId="77777777" w:rsidR="00907013" w:rsidRPr="00907013" w:rsidRDefault="00907013" w:rsidP="00907013">
      <w:pPr>
        <w:pStyle w:val="ListParagraph"/>
        <w:numPr>
          <w:ilvl w:val="0"/>
          <w:numId w:val="21"/>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lang w:val="nl-BE"/>
        </w:rPr>
      </w:pPr>
      <w:r w:rsidRPr="00907013">
        <w:rPr>
          <w:rFonts w:cstheme="minorHAnsi"/>
          <w:b/>
          <w:lang w:val="nl-BE"/>
        </w:rPr>
        <w:t>Evolutie van de activiteit in volume: -14%</w:t>
      </w:r>
    </w:p>
    <w:p w14:paraId="5E8E60D7" w14:textId="77777777" w:rsidR="00907013" w:rsidRPr="00A81DD0" w:rsidRDefault="00907013" w:rsidP="00907013">
      <w:pPr>
        <w:pStyle w:val="ListParagraph"/>
        <w:numPr>
          <w:ilvl w:val="0"/>
          <w:numId w:val="21"/>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sidRPr="00A81DD0">
        <w:rPr>
          <w:rFonts w:cstheme="minorHAnsi"/>
          <w:b/>
        </w:rPr>
        <w:t>Exportaandeel: 57%</w:t>
      </w:r>
    </w:p>
    <w:p w14:paraId="1725EFED" w14:textId="77777777" w:rsidR="00907013" w:rsidRPr="00907013" w:rsidRDefault="00907013" w:rsidP="00907013">
      <w:pPr>
        <w:pStyle w:val="ListParagraph"/>
        <w:numPr>
          <w:ilvl w:val="0"/>
          <w:numId w:val="21"/>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lang w:val="nl-BE"/>
        </w:rPr>
      </w:pPr>
      <w:r w:rsidRPr="00907013">
        <w:rPr>
          <w:rFonts w:cstheme="minorHAnsi"/>
          <w:b/>
          <w:lang w:val="nl-BE"/>
        </w:rPr>
        <w:t>Aandeel in de totale omzet van de Belgische hout- en meubelindustrie: 33%</w:t>
      </w:r>
    </w:p>
    <w:p w14:paraId="25720614" w14:textId="77777777" w:rsidR="00907013" w:rsidRPr="00907013" w:rsidRDefault="00907013" w:rsidP="00907013">
      <w:pPr>
        <w:pBdr>
          <w:top w:val="single" w:sz="4" w:space="1" w:color="auto"/>
          <w:left w:val="single" w:sz="4" w:space="1" w:color="auto"/>
          <w:bottom w:val="single" w:sz="4" w:space="1" w:color="auto"/>
          <w:right w:val="single" w:sz="4" w:space="1" w:color="auto"/>
        </w:pBdr>
        <w:rPr>
          <w:rFonts w:cstheme="minorHAnsi"/>
          <w:sz w:val="10"/>
          <w:szCs w:val="10"/>
          <w:lang w:val="nl-BE"/>
        </w:rPr>
      </w:pPr>
    </w:p>
    <w:p w14:paraId="226002D6" w14:textId="77777777" w:rsidR="00907013" w:rsidRPr="00907013" w:rsidRDefault="00907013" w:rsidP="00907013">
      <w:pPr>
        <w:tabs>
          <w:tab w:val="left" w:pos="-828"/>
          <w:tab w:val="left" w:pos="4253"/>
        </w:tabs>
        <w:suppressAutoHyphens/>
        <w:jc w:val="both"/>
        <w:rPr>
          <w:rFonts w:cstheme="minorHAnsi"/>
          <w:spacing w:val="-3"/>
          <w:lang w:val="nl-BE"/>
        </w:rPr>
      </w:pPr>
    </w:p>
    <w:p w14:paraId="58598FDA" w14:textId="77777777" w:rsidR="00907013" w:rsidRPr="00907013" w:rsidRDefault="00907013" w:rsidP="00907013">
      <w:pPr>
        <w:tabs>
          <w:tab w:val="left" w:pos="-828"/>
          <w:tab w:val="left" w:pos="4253"/>
        </w:tabs>
        <w:suppressAutoHyphens/>
        <w:jc w:val="both"/>
        <w:rPr>
          <w:rFonts w:cstheme="minorHAnsi"/>
          <w:b/>
          <w:spacing w:val="-3"/>
          <w:u w:val="single"/>
          <w:lang w:val="nl-BE"/>
        </w:rPr>
      </w:pPr>
      <w:r w:rsidRPr="00907013">
        <w:rPr>
          <w:rFonts w:cstheme="minorHAnsi"/>
          <w:b/>
          <w:spacing w:val="-3"/>
          <w:u w:val="single"/>
          <w:lang w:val="nl-BE"/>
        </w:rPr>
        <w:t>Samenvatting ontwikkelingen in de eerste helft van 2023</w:t>
      </w:r>
    </w:p>
    <w:p w14:paraId="7EF07C4D" w14:textId="77777777" w:rsidR="00907013" w:rsidRPr="00907013" w:rsidRDefault="00907013" w:rsidP="00907013">
      <w:pPr>
        <w:tabs>
          <w:tab w:val="left" w:pos="-828"/>
          <w:tab w:val="left" w:pos="4253"/>
        </w:tabs>
        <w:suppressAutoHyphens/>
        <w:jc w:val="both"/>
        <w:rPr>
          <w:rFonts w:cstheme="minorHAnsi"/>
          <w:spacing w:val="-3"/>
          <w:lang w:val="nl-BE"/>
        </w:rPr>
      </w:pPr>
    </w:p>
    <w:p w14:paraId="6ADD9B91" w14:textId="77777777" w:rsidR="00907013" w:rsidRPr="00907013" w:rsidRDefault="00907013" w:rsidP="00907013">
      <w:pPr>
        <w:pStyle w:val="ListParagraph"/>
        <w:numPr>
          <w:ilvl w:val="0"/>
          <w:numId w:val="22"/>
        </w:numPr>
        <w:tabs>
          <w:tab w:val="left" w:pos="4253"/>
        </w:tabs>
        <w:suppressAutoHyphens/>
        <w:spacing w:after="0" w:line="240" w:lineRule="auto"/>
        <w:ind w:left="284" w:hanging="284"/>
        <w:jc w:val="both"/>
        <w:rPr>
          <w:spacing w:val="-3"/>
          <w:lang w:val="nl-BE"/>
        </w:rPr>
      </w:pPr>
      <w:r w:rsidRPr="00907013">
        <w:rPr>
          <w:spacing w:val="-3"/>
          <w:lang w:val="nl-BE"/>
        </w:rPr>
        <w:t xml:space="preserve">Omzet: 1.106 miljoen euro, -5,6% in vergelijking met eerste semester 2022. Reële daling in volume met 11,8% ten gevolge van stijging van de afzetprijzen met 6,2% </w:t>
      </w:r>
    </w:p>
    <w:p w14:paraId="52A604C8" w14:textId="77777777" w:rsidR="00907013" w:rsidRPr="00A81DD0" w:rsidRDefault="00907013" w:rsidP="00907013">
      <w:pPr>
        <w:pStyle w:val="ListParagraph"/>
        <w:numPr>
          <w:ilvl w:val="0"/>
          <w:numId w:val="22"/>
        </w:numPr>
        <w:tabs>
          <w:tab w:val="left" w:pos="-828"/>
          <w:tab w:val="left" w:pos="4253"/>
        </w:tabs>
        <w:suppressAutoHyphens/>
        <w:spacing w:after="0" w:line="240" w:lineRule="auto"/>
        <w:ind w:left="284" w:hanging="284"/>
        <w:jc w:val="both"/>
        <w:rPr>
          <w:rFonts w:cstheme="minorHAnsi"/>
          <w:spacing w:val="-3"/>
        </w:rPr>
      </w:pPr>
      <w:r w:rsidRPr="00A81DD0">
        <w:rPr>
          <w:rFonts w:cstheme="minorHAnsi"/>
          <w:spacing w:val="-3"/>
        </w:rPr>
        <w:t xml:space="preserve">Investeringen: </w:t>
      </w:r>
      <w:r>
        <w:rPr>
          <w:rFonts w:cstheme="minorHAnsi"/>
          <w:spacing w:val="-3"/>
        </w:rPr>
        <w:t>48,2</w:t>
      </w:r>
      <w:r w:rsidRPr="00A81DD0">
        <w:rPr>
          <w:rFonts w:cstheme="minorHAnsi"/>
          <w:spacing w:val="-3"/>
        </w:rPr>
        <w:t xml:space="preserve"> miljoen euro (</w:t>
      </w:r>
      <w:r>
        <w:rPr>
          <w:rFonts w:cstheme="minorHAnsi"/>
          <w:spacing w:val="-3"/>
        </w:rPr>
        <w:t>+30,6</w:t>
      </w:r>
      <w:r w:rsidRPr="00A81DD0">
        <w:rPr>
          <w:rFonts w:cstheme="minorHAnsi"/>
          <w:spacing w:val="-3"/>
        </w:rPr>
        <w:t>%)</w:t>
      </w:r>
    </w:p>
    <w:p w14:paraId="46125747" w14:textId="77777777" w:rsidR="00907013" w:rsidRPr="00A81DD0" w:rsidRDefault="00907013" w:rsidP="00907013">
      <w:pPr>
        <w:pStyle w:val="ListParagraph"/>
        <w:numPr>
          <w:ilvl w:val="0"/>
          <w:numId w:val="22"/>
        </w:numPr>
        <w:tabs>
          <w:tab w:val="left" w:pos="-828"/>
          <w:tab w:val="left" w:pos="4253"/>
        </w:tabs>
        <w:suppressAutoHyphens/>
        <w:spacing w:after="0" w:line="240" w:lineRule="auto"/>
        <w:ind w:left="284" w:hanging="284"/>
        <w:jc w:val="both"/>
        <w:rPr>
          <w:rFonts w:cstheme="minorHAnsi"/>
          <w:spacing w:val="-3"/>
        </w:rPr>
      </w:pPr>
      <w:r w:rsidRPr="00A81DD0">
        <w:rPr>
          <w:rFonts w:cstheme="minorHAnsi"/>
          <w:spacing w:val="-3"/>
        </w:rPr>
        <w:t xml:space="preserve">Bezettingsgraad productiecapaciteit: </w:t>
      </w:r>
      <w:r>
        <w:rPr>
          <w:rFonts w:cstheme="minorHAnsi"/>
          <w:spacing w:val="-3"/>
        </w:rPr>
        <w:t>74.2</w:t>
      </w:r>
      <w:r w:rsidRPr="00A81DD0">
        <w:rPr>
          <w:rFonts w:cstheme="minorHAnsi"/>
          <w:spacing w:val="-3"/>
        </w:rPr>
        <w:t xml:space="preserve">% </w:t>
      </w:r>
    </w:p>
    <w:p w14:paraId="48AB2AD7" w14:textId="77777777" w:rsidR="00907013" w:rsidRPr="00907013" w:rsidRDefault="00907013" w:rsidP="00907013">
      <w:pPr>
        <w:pStyle w:val="ListParagraph"/>
        <w:numPr>
          <w:ilvl w:val="0"/>
          <w:numId w:val="22"/>
        </w:numPr>
        <w:tabs>
          <w:tab w:val="left" w:pos="4253"/>
        </w:tabs>
        <w:suppressAutoHyphens/>
        <w:spacing w:after="0" w:line="240" w:lineRule="auto"/>
        <w:ind w:left="284" w:hanging="284"/>
        <w:jc w:val="both"/>
        <w:rPr>
          <w:lang w:val="nl-BE"/>
        </w:rPr>
      </w:pPr>
      <w:r w:rsidRPr="00907013">
        <w:rPr>
          <w:spacing w:val="-3"/>
          <w:lang w:val="nl-BE"/>
        </w:rPr>
        <w:t>Export: -12.2% in vergelijking met dezelfde periode in 2022. Frankrijk, Nederland en Duitsland vertonen sterke terugval maar blijven de belangrijkste afzetmarkten</w:t>
      </w:r>
    </w:p>
    <w:p w14:paraId="69975118" w14:textId="77777777" w:rsidR="00907013" w:rsidRPr="00907013" w:rsidRDefault="00907013" w:rsidP="00907013">
      <w:pPr>
        <w:pStyle w:val="ListParagraph"/>
        <w:numPr>
          <w:ilvl w:val="0"/>
          <w:numId w:val="22"/>
        </w:numPr>
        <w:tabs>
          <w:tab w:val="left" w:pos="4253"/>
        </w:tabs>
        <w:suppressAutoHyphens/>
        <w:spacing w:after="0" w:line="240" w:lineRule="auto"/>
        <w:ind w:left="284" w:hanging="284"/>
        <w:jc w:val="both"/>
        <w:rPr>
          <w:lang w:val="nl-BE"/>
        </w:rPr>
      </w:pPr>
      <w:r w:rsidRPr="00907013">
        <w:rPr>
          <w:spacing w:val="-3"/>
          <w:lang w:val="nl-BE"/>
        </w:rPr>
        <w:t>Import: -17,4% in vergelijking met dezelfde periode in 2022</w:t>
      </w:r>
    </w:p>
    <w:p w14:paraId="73B96809" w14:textId="41BF218B" w:rsidR="00907013" w:rsidRPr="00907013" w:rsidRDefault="00907013" w:rsidP="00907013">
      <w:pPr>
        <w:jc w:val="both"/>
        <w:rPr>
          <w:rFonts w:cstheme="minorHAnsi"/>
          <w:b/>
          <w:bCs/>
          <w:u w:val="single"/>
          <w:lang w:val="nl-BE"/>
        </w:rPr>
      </w:pPr>
      <w:r w:rsidRPr="00907013">
        <w:rPr>
          <w:rFonts w:cstheme="minorHAnsi"/>
          <w:b/>
          <w:bCs/>
          <w:u w:val="single"/>
          <w:lang w:val="nl-BE"/>
        </w:rPr>
        <w:lastRenderedPageBreak/>
        <w:t>Algemene context</w:t>
      </w:r>
    </w:p>
    <w:p w14:paraId="63091D31" w14:textId="77777777" w:rsidR="00907013" w:rsidRPr="00907013" w:rsidRDefault="00907013" w:rsidP="00907013">
      <w:pPr>
        <w:jc w:val="both"/>
        <w:rPr>
          <w:lang w:val="nl-BE"/>
        </w:rPr>
      </w:pPr>
      <w:r w:rsidRPr="00907013">
        <w:rPr>
          <w:lang w:val="nl-BE"/>
        </w:rPr>
        <w:t>Sinds het tweede semester 2022 werd de Belgische meubelindustrie geconfronteerd met een terugvallende vraag zowel op de binnen- als buitenlandse markten. De fel gestegen inflatie, hogere kosten voor energie en grondstoffen en onzekere toekomst door geopolitieke ontwikkelingen verontrustten de consument en leidden tot een daling van het consumentenvertrouwen. De perfecte storm waarover we vorig jaar spraken heeft zich in 2023 verder tot een echte orkaan ontwikkeld.</w:t>
      </w:r>
    </w:p>
    <w:p w14:paraId="6FB1BF5C" w14:textId="77777777" w:rsidR="00907013" w:rsidRPr="00907013" w:rsidRDefault="00907013" w:rsidP="00907013">
      <w:pPr>
        <w:jc w:val="both"/>
        <w:rPr>
          <w:lang w:val="nl-BE"/>
        </w:rPr>
      </w:pPr>
    </w:p>
    <w:p w14:paraId="11070F1B" w14:textId="77777777" w:rsidR="00907013" w:rsidRPr="00907013" w:rsidRDefault="00907013" w:rsidP="00907013">
      <w:pPr>
        <w:jc w:val="both"/>
        <w:rPr>
          <w:lang w:val="nl-BE"/>
        </w:rPr>
      </w:pPr>
      <w:r w:rsidRPr="00907013">
        <w:rPr>
          <w:lang w:val="nl-BE"/>
        </w:rPr>
        <w:t>Daarenboven hadden vele consumenten ervoor geopteerd hun beschikbaar gezinsbudget na de coronapandemie (opnieuw) te besteden aan vrije tijd (reizen, horeca) en niet langer aan de inrichting van hun woonomgeving, die tijdens corona wel de nodige aandacht had gekregen en de sector toen fors had gestut.</w:t>
      </w:r>
    </w:p>
    <w:p w14:paraId="56DB3AD3" w14:textId="77777777" w:rsidR="00907013" w:rsidRPr="00907013" w:rsidRDefault="00907013" w:rsidP="00907013">
      <w:pPr>
        <w:jc w:val="both"/>
        <w:rPr>
          <w:lang w:val="nl-BE"/>
        </w:rPr>
      </w:pPr>
    </w:p>
    <w:p w14:paraId="336C9D73" w14:textId="77777777" w:rsidR="00907013" w:rsidRDefault="00907013" w:rsidP="00907013">
      <w:pPr>
        <w:jc w:val="both"/>
        <w:rPr>
          <w:lang w:val="nl-BE"/>
        </w:rPr>
      </w:pPr>
      <w:r w:rsidRPr="00907013">
        <w:rPr>
          <w:lang w:val="nl-BE"/>
        </w:rPr>
        <w:t>Niettegenstaande de maatregelen van de overheid tot het ondersteunen van de consument via de energiepremie,  samen met het in België gangbare principe van automatische loonindexering, goed voor een 16% loonstijging in 2021/2022, om de kooppracht op peil te houden, kwam er in 2023 geen kentering in de situatie, integendeel. De vraag bleef laag, ook in de bouw, met een verlijkbare situatie in de buurlanden of op exportmarkten. De meubelsector bevindt zich dan ook in woelig vaarwater en de eerste negatieve gevolgen hebben zich reeds gemanifesteerd met faillissementen aan producentenzijde en winkelsluitingen in de handel. De pijlen worden nu gericht op 2024 dat hopelijk een heropleving zal kennen.</w:t>
      </w:r>
    </w:p>
    <w:p w14:paraId="100F6CA3" w14:textId="77777777" w:rsidR="00907013" w:rsidRDefault="00907013" w:rsidP="00907013">
      <w:pPr>
        <w:jc w:val="both"/>
        <w:rPr>
          <w:lang w:val="nl-BE"/>
        </w:rPr>
      </w:pPr>
    </w:p>
    <w:p w14:paraId="73C3A35C" w14:textId="77777777" w:rsidR="00907013" w:rsidRPr="00A81DD0" w:rsidRDefault="00907013" w:rsidP="00907013">
      <w:pPr>
        <w:pStyle w:val="BodyText"/>
        <w:rPr>
          <w:rFonts w:asciiTheme="minorHAnsi" w:hAnsiTheme="minorHAnsi" w:cstheme="minorBidi"/>
          <w:b/>
          <w:bCs/>
          <w:u w:val="single"/>
        </w:rPr>
      </w:pPr>
      <w:r w:rsidRPr="6E1B9019">
        <w:rPr>
          <w:rFonts w:asciiTheme="minorHAnsi" w:hAnsiTheme="minorHAnsi" w:cstheme="minorBidi"/>
          <w:b/>
          <w:bCs/>
          <w:u w:val="single"/>
        </w:rPr>
        <w:t>Eerste semester 202</w:t>
      </w:r>
      <w:r>
        <w:rPr>
          <w:rFonts w:asciiTheme="minorHAnsi" w:hAnsiTheme="minorHAnsi" w:cstheme="minorBidi"/>
          <w:b/>
          <w:bCs/>
          <w:u w:val="single"/>
        </w:rPr>
        <w:t>3</w:t>
      </w:r>
      <w:r w:rsidRPr="6E1B9019">
        <w:rPr>
          <w:rFonts w:asciiTheme="minorHAnsi" w:hAnsiTheme="minorHAnsi" w:cstheme="minorBidi"/>
          <w:b/>
          <w:bCs/>
          <w:u w:val="single"/>
        </w:rPr>
        <w:t xml:space="preserve">: </w:t>
      </w:r>
      <w:r>
        <w:rPr>
          <w:rFonts w:asciiTheme="minorHAnsi" w:hAnsiTheme="minorHAnsi" w:cstheme="minorBidi"/>
          <w:b/>
          <w:bCs/>
          <w:u w:val="single"/>
        </w:rPr>
        <w:t>Omzet daalt zowel in waarde als in volume</w:t>
      </w:r>
    </w:p>
    <w:p w14:paraId="335EE9EC" w14:textId="77777777" w:rsidR="00907013" w:rsidRDefault="00907013" w:rsidP="00907013">
      <w:pPr>
        <w:pStyle w:val="BodyText"/>
        <w:rPr>
          <w:rFonts w:asciiTheme="minorHAnsi" w:hAnsiTheme="minorHAnsi" w:cstheme="minorHAnsi"/>
          <w:szCs w:val="22"/>
        </w:rPr>
      </w:pPr>
    </w:p>
    <w:tbl>
      <w:tblPr>
        <w:tblW w:w="10453" w:type="dxa"/>
        <w:tblInd w:w="-572" w:type="dxa"/>
        <w:tblLayout w:type="fixed"/>
        <w:tblCellMar>
          <w:left w:w="70" w:type="dxa"/>
          <w:right w:w="70" w:type="dxa"/>
        </w:tblCellMar>
        <w:tblLook w:val="04A0" w:firstRow="1" w:lastRow="0" w:firstColumn="1" w:lastColumn="0" w:noHBand="0" w:noVBand="1"/>
      </w:tblPr>
      <w:tblGrid>
        <w:gridCol w:w="2835"/>
        <w:gridCol w:w="952"/>
        <w:gridCol w:w="952"/>
        <w:gridCol w:w="952"/>
        <w:gridCol w:w="953"/>
        <w:gridCol w:w="952"/>
        <w:gridCol w:w="952"/>
        <w:gridCol w:w="952"/>
        <w:gridCol w:w="953"/>
      </w:tblGrid>
      <w:tr w:rsidR="00907013" w:rsidRPr="007220A1" w14:paraId="55C54884" w14:textId="77777777" w:rsidTr="00C07BA6">
        <w:trPr>
          <w:trHeight w:val="420"/>
        </w:trPr>
        <w:tc>
          <w:tcPr>
            <w:tcW w:w="8548" w:type="dxa"/>
            <w:gridSpan w:val="7"/>
            <w:tcBorders>
              <w:top w:val="single" w:sz="4" w:space="0" w:color="auto"/>
              <w:left w:val="single" w:sz="4" w:space="0" w:color="auto"/>
              <w:bottom w:val="single" w:sz="4" w:space="0" w:color="auto"/>
              <w:right w:val="single" w:sz="4" w:space="0" w:color="auto"/>
            </w:tcBorders>
            <w:shd w:val="clear" w:color="auto" w:fill="FFC000"/>
            <w:noWrap/>
            <w:vAlign w:val="center"/>
          </w:tcPr>
          <w:p w14:paraId="5B40D2FB" w14:textId="77777777" w:rsidR="00907013" w:rsidRPr="00907013" w:rsidRDefault="00907013" w:rsidP="00C07BA6">
            <w:pPr>
              <w:jc w:val="center"/>
              <w:rPr>
                <w:rFonts w:cstheme="minorHAnsi"/>
                <w:b/>
                <w:bCs/>
                <w:color w:val="000000"/>
                <w:lang w:val="nl-BE" w:eastAsia="nl-BE"/>
              </w:rPr>
            </w:pPr>
            <w:r w:rsidRPr="00907013">
              <w:rPr>
                <w:rFonts w:cstheme="minorHAnsi"/>
                <w:b/>
                <w:bCs/>
                <w:color w:val="000000"/>
                <w:lang w:val="nl-BE" w:eastAsia="nl-BE"/>
              </w:rPr>
              <w:t>Omzetevolutie in de Belgische Meubelindustrie</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60EAD5A0" w14:textId="77777777" w:rsidR="00907013" w:rsidRPr="007220A1" w:rsidRDefault="00907013" w:rsidP="00C07BA6">
            <w:pPr>
              <w:jc w:val="center"/>
              <w:rPr>
                <w:rFonts w:cstheme="minorHAnsi"/>
                <w:b/>
                <w:bCs/>
                <w:color w:val="000000"/>
                <w:lang w:eastAsia="nl-BE"/>
              </w:rPr>
            </w:pPr>
            <w:r w:rsidRPr="007220A1">
              <w:rPr>
                <w:rFonts w:cstheme="minorHAnsi"/>
                <w:b/>
                <w:bCs/>
                <w:color w:val="000000"/>
                <w:lang w:eastAsia="nl-BE"/>
              </w:rPr>
              <w:t>Afzet-prijzen</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2C12514A" w14:textId="77777777" w:rsidR="00907013" w:rsidRPr="007220A1" w:rsidRDefault="00907013" w:rsidP="00C07BA6">
            <w:pPr>
              <w:jc w:val="center"/>
              <w:rPr>
                <w:rFonts w:cstheme="minorHAnsi"/>
                <w:b/>
                <w:bCs/>
                <w:color w:val="000000"/>
                <w:lang w:eastAsia="nl-BE"/>
              </w:rPr>
            </w:pPr>
            <w:r w:rsidRPr="007220A1">
              <w:rPr>
                <w:rFonts w:cstheme="minorHAnsi"/>
                <w:b/>
                <w:bCs/>
                <w:color w:val="000000"/>
                <w:lang w:eastAsia="nl-BE"/>
              </w:rPr>
              <w:t>Omzet in volume</w:t>
            </w:r>
          </w:p>
        </w:tc>
      </w:tr>
      <w:tr w:rsidR="00907013" w:rsidRPr="007220A1" w14:paraId="5FE85BDE" w14:textId="77777777" w:rsidTr="00C07BA6">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C7BD87B" w14:textId="77777777" w:rsidR="00907013" w:rsidRPr="007220A1" w:rsidRDefault="00907013" w:rsidP="00C07BA6">
            <w:pPr>
              <w:jc w:val="center"/>
              <w:rPr>
                <w:rFonts w:cstheme="minorHAnsi"/>
                <w:b/>
                <w:bCs/>
                <w:color w:val="000000"/>
                <w:lang w:eastAsia="nl-BE"/>
              </w:rPr>
            </w:pPr>
            <w:r w:rsidRPr="007220A1">
              <w:rPr>
                <w:rFonts w:cstheme="minorHAnsi"/>
                <w:b/>
                <w:bCs/>
                <w:color w:val="000000"/>
                <w:lang w:eastAsia="nl-BE"/>
              </w:rPr>
              <w:t>In miljoen EUR</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062CA913" w14:textId="77777777" w:rsidR="00907013" w:rsidRPr="007220A1" w:rsidRDefault="00907013" w:rsidP="00C07BA6">
            <w:pPr>
              <w:jc w:val="center"/>
              <w:rPr>
                <w:rFonts w:cstheme="minorHAnsi"/>
                <w:b/>
                <w:bCs/>
                <w:color w:val="000000"/>
                <w:lang w:eastAsia="nl-BE"/>
              </w:rPr>
            </w:pPr>
            <w:r w:rsidRPr="007220A1">
              <w:rPr>
                <w:rFonts w:cstheme="minorHAnsi"/>
                <w:b/>
                <w:bCs/>
                <w:color w:val="000000"/>
                <w:lang w:eastAsia="nl-BE"/>
              </w:rPr>
              <w:t>2021</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7A5EEED4" w14:textId="77777777" w:rsidR="00907013" w:rsidRPr="007220A1" w:rsidRDefault="00907013" w:rsidP="00C07BA6">
            <w:pPr>
              <w:jc w:val="center"/>
              <w:rPr>
                <w:rFonts w:cstheme="minorHAnsi"/>
                <w:b/>
                <w:bCs/>
                <w:color w:val="000000"/>
                <w:lang w:eastAsia="nl-BE"/>
              </w:rPr>
            </w:pPr>
            <w:r w:rsidRPr="007220A1">
              <w:rPr>
                <w:rFonts w:cstheme="minorHAnsi"/>
                <w:b/>
                <w:bCs/>
                <w:color w:val="000000"/>
                <w:lang w:eastAsia="nl-BE"/>
              </w:rPr>
              <w:t>2022</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26FD2C4F" w14:textId="77777777" w:rsidR="00907013" w:rsidRPr="007220A1" w:rsidRDefault="00907013" w:rsidP="00C07BA6">
            <w:pPr>
              <w:jc w:val="center"/>
              <w:rPr>
                <w:rFonts w:cstheme="minorHAnsi"/>
                <w:b/>
                <w:bCs/>
                <w:color w:val="000000"/>
                <w:lang w:eastAsia="nl-BE"/>
              </w:rPr>
            </w:pPr>
            <w:r w:rsidRPr="007220A1">
              <w:rPr>
                <w:rFonts w:cstheme="minorHAnsi"/>
                <w:b/>
                <w:bCs/>
                <w:color w:val="000000"/>
                <w:lang w:eastAsia="nl-BE"/>
              </w:rPr>
              <w:t>'22/'21</w:t>
            </w:r>
          </w:p>
        </w:tc>
        <w:tc>
          <w:tcPr>
            <w:tcW w:w="953" w:type="dxa"/>
            <w:tcBorders>
              <w:top w:val="single" w:sz="4" w:space="0" w:color="auto"/>
              <w:left w:val="nil"/>
              <w:bottom w:val="single" w:sz="4" w:space="0" w:color="auto"/>
              <w:right w:val="single" w:sz="4" w:space="0" w:color="auto"/>
            </w:tcBorders>
            <w:shd w:val="clear" w:color="auto" w:fill="FFC000"/>
            <w:noWrap/>
            <w:vAlign w:val="center"/>
            <w:hideMark/>
          </w:tcPr>
          <w:p w14:paraId="59999EC0" w14:textId="77777777" w:rsidR="00907013" w:rsidRPr="007220A1" w:rsidRDefault="00907013" w:rsidP="00C07BA6">
            <w:pPr>
              <w:jc w:val="center"/>
              <w:rPr>
                <w:rFonts w:cstheme="minorHAnsi"/>
                <w:b/>
                <w:bCs/>
                <w:color w:val="000000"/>
                <w:lang w:eastAsia="nl-BE"/>
              </w:rPr>
            </w:pPr>
            <w:r w:rsidRPr="007220A1">
              <w:rPr>
                <w:rFonts w:ascii="Calibri" w:hAnsi="Calibri" w:cs="Calibri"/>
                <w:b/>
                <w:bCs/>
                <w:color w:val="000000"/>
              </w:rPr>
              <w:t xml:space="preserve">6 m 2022 </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756C1399" w14:textId="77777777" w:rsidR="00907013" w:rsidRPr="007220A1" w:rsidRDefault="00907013" w:rsidP="00C07BA6">
            <w:pPr>
              <w:jc w:val="center"/>
              <w:rPr>
                <w:b/>
                <w:bCs/>
                <w:color w:val="000000"/>
                <w:lang w:eastAsia="nl-BE"/>
              </w:rPr>
            </w:pPr>
            <w:r w:rsidRPr="5F658A52">
              <w:rPr>
                <w:rFonts w:ascii="Calibri" w:hAnsi="Calibri" w:cs="Calibri"/>
                <w:b/>
                <w:bCs/>
                <w:color w:val="000000" w:themeColor="text1"/>
              </w:rPr>
              <w:t>6 m 2023</w:t>
            </w:r>
            <w:r>
              <w:rPr>
                <w:rFonts w:ascii="Calibri" w:hAnsi="Calibri" w:cs="Calibri"/>
                <w:b/>
                <w:bCs/>
                <w:color w:val="000000" w:themeColor="text1"/>
              </w:rPr>
              <w:t>*</w:t>
            </w:r>
          </w:p>
        </w:tc>
        <w:tc>
          <w:tcPr>
            <w:tcW w:w="952" w:type="dxa"/>
            <w:tcBorders>
              <w:top w:val="single" w:sz="4" w:space="0" w:color="auto"/>
              <w:left w:val="nil"/>
              <w:bottom w:val="single" w:sz="4" w:space="0" w:color="auto"/>
              <w:right w:val="nil"/>
            </w:tcBorders>
            <w:shd w:val="clear" w:color="auto" w:fill="FFC000"/>
            <w:noWrap/>
            <w:vAlign w:val="center"/>
            <w:hideMark/>
          </w:tcPr>
          <w:p w14:paraId="4E38CB58" w14:textId="77777777" w:rsidR="00907013" w:rsidRPr="007220A1" w:rsidRDefault="00907013" w:rsidP="00C07BA6">
            <w:pPr>
              <w:jc w:val="center"/>
              <w:rPr>
                <w:rFonts w:cstheme="minorHAnsi"/>
                <w:b/>
                <w:bCs/>
                <w:color w:val="000000"/>
                <w:lang w:eastAsia="nl-BE"/>
              </w:rPr>
            </w:pPr>
            <w:r w:rsidRPr="007220A1">
              <w:rPr>
                <w:rFonts w:ascii="Calibri" w:hAnsi="Calibri" w:cs="Calibri"/>
                <w:b/>
                <w:bCs/>
                <w:color w:val="000000"/>
              </w:rPr>
              <w:t>6 m '23/'22</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73DDC50F" w14:textId="77777777" w:rsidR="00907013" w:rsidRPr="007220A1" w:rsidRDefault="00907013" w:rsidP="00C07BA6">
            <w:pPr>
              <w:jc w:val="center"/>
              <w:rPr>
                <w:rFonts w:ascii="Calibri" w:hAnsi="Calibri" w:cs="Calibri"/>
                <w:b/>
                <w:bCs/>
                <w:color w:val="000000"/>
                <w:lang w:eastAsia="nl-BE"/>
              </w:rPr>
            </w:pPr>
            <w:r w:rsidRPr="007220A1">
              <w:rPr>
                <w:rFonts w:ascii="Calibri" w:hAnsi="Calibri" w:cs="Calibri"/>
                <w:b/>
                <w:bCs/>
                <w:color w:val="000000"/>
              </w:rPr>
              <w:t>6 m '23/'22</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1DDDC557" w14:textId="77777777" w:rsidR="00907013" w:rsidRPr="007220A1" w:rsidRDefault="00907013" w:rsidP="00C07BA6">
            <w:pPr>
              <w:jc w:val="center"/>
              <w:rPr>
                <w:rFonts w:cstheme="minorHAnsi"/>
                <w:b/>
                <w:bCs/>
                <w:color w:val="000000"/>
                <w:lang w:eastAsia="nl-BE"/>
              </w:rPr>
            </w:pPr>
            <w:r w:rsidRPr="007220A1">
              <w:rPr>
                <w:rFonts w:cstheme="minorHAnsi"/>
                <w:b/>
                <w:bCs/>
                <w:color w:val="000000"/>
                <w:lang w:eastAsia="nl-BE"/>
              </w:rPr>
              <w:t xml:space="preserve"> 6 m '/'22</w:t>
            </w:r>
          </w:p>
        </w:tc>
      </w:tr>
      <w:tr w:rsidR="00907013" w:rsidRPr="007220A1" w14:paraId="1319BDE0" w14:textId="77777777" w:rsidTr="00C07BA6">
        <w:trPr>
          <w:trHeight w:val="7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193581" w14:textId="77777777" w:rsidR="00907013" w:rsidRPr="00907013" w:rsidRDefault="00907013" w:rsidP="00C07BA6">
            <w:pPr>
              <w:rPr>
                <w:rFonts w:cstheme="minorHAnsi"/>
                <w:color w:val="000000"/>
                <w:lang w:val="nl-BE" w:eastAsia="nl-BE"/>
              </w:rPr>
            </w:pPr>
            <w:r w:rsidRPr="00907013">
              <w:rPr>
                <w:rFonts w:cstheme="minorHAnsi"/>
                <w:color w:val="000000"/>
                <w:lang w:val="nl-BE" w:eastAsia="nl-BE"/>
              </w:rPr>
              <w:t>Stoelen en zitmeubelen, eetkamer-, zitkamer-, slaapkamer-, badkamer-, tuin- en terrasmeubelen</w:t>
            </w:r>
          </w:p>
        </w:tc>
        <w:tc>
          <w:tcPr>
            <w:tcW w:w="952" w:type="dxa"/>
            <w:tcBorders>
              <w:top w:val="nil"/>
              <w:left w:val="nil"/>
              <w:bottom w:val="single" w:sz="4" w:space="0" w:color="auto"/>
              <w:right w:val="nil"/>
            </w:tcBorders>
            <w:shd w:val="clear" w:color="auto" w:fill="auto"/>
            <w:noWrap/>
            <w:vAlign w:val="center"/>
            <w:hideMark/>
          </w:tcPr>
          <w:p w14:paraId="1226783F" w14:textId="77777777" w:rsidR="00907013" w:rsidRPr="007220A1" w:rsidRDefault="00907013" w:rsidP="00C07BA6">
            <w:pPr>
              <w:jc w:val="right"/>
              <w:rPr>
                <w:rFonts w:cstheme="minorHAnsi"/>
                <w:color w:val="000000"/>
                <w:lang w:eastAsia="nl-BE"/>
              </w:rPr>
            </w:pPr>
            <w:r w:rsidRPr="007220A1">
              <w:rPr>
                <w:rFonts w:cstheme="minorHAnsi"/>
                <w:color w:val="000000"/>
                <w:lang w:eastAsia="nl-BE"/>
              </w:rPr>
              <w:t>933,8</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8DFCF64"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929,5</w:t>
            </w:r>
          </w:p>
        </w:tc>
        <w:tc>
          <w:tcPr>
            <w:tcW w:w="952" w:type="dxa"/>
            <w:tcBorders>
              <w:top w:val="nil"/>
              <w:left w:val="nil"/>
              <w:bottom w:val="single" w:sz="4" w:space="0" w:color="auto"/>
              <w:right w:val="single" w:sz="4" w:space="0" w:color="auto"/>
            </w:tcBorders>
            <w:shd w:val="clear" w:color="auto" w:fill="auto"/>
            <w:noWrap/>
            <w:vAlign w:val="center"/>
            <w:hideMark/>
          </w:tcPr>
          <w:p w14:paraId="6D242C9B" w14:textId="77777777" w:rsidR="00907013" w:rsidRPr="007220A1" w:rsidRDefault="00907013" w:rsidP="00C07BA6">
            <w:pPr>
              <w:jc w:val="right"/>
              <w:rPr>
                <w:rFonts w:cstheme="minorHAnsi"/>
                <w:b/>
                <w:bCs/>
                <w:color w:val="000000"/>
                <w:lang w:eastAsia="nl-BE"/>
              </w:rPr>
            </w:pPr>
            <w:r w:rsidRPr="007220A1">
              <w:rPr>
                <w:rFonts w:ascii="Calibri" w:hAnsi="Calibri" w:cs="Calibri"/>
                <w:color w:val="000000"/>
              </w:rPr>
              <w:t>-0,5%</w:t>
            </w:r>
          </w:p>
        </w:tc>
        <w:tc>
          <w:tcPr>
            <w:tcW w:w="953" w:type="dxa"/>
            <w:tcBorders>
              <w:top w:val="nil"/>
              <w:left w:val="nil"/>
              <w:bottom w:val="single" w:sz="4" w:space="0" w:color="auto"/>
              <w:right w:val="single" w:sz="4" w:space="0" w:color="auto"/>
            </w:tcBorders>
            <w:shd w:val="clear" w:color="auto" w:fill="auto"/>
            <w:noWrap/>
            <w:vAlign w:val="center"/>
            <w:hideMark/>
          </w:tcPr>
          <w:p w14:paraId="1FD02B20"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489,3</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101324FF"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466,1</w:t>
            </w:r>
          </w:p>
        </w:tc>
        <w:tc>
          <w:tcPr>
            <w:tcW w:w="952" w:type="dxa"/>
            <w:tcBorders>
              <w:top w:val="nil"/>
              <w:left w:val="nil"/>
              <w:bottom w:val="single" w:sz="4" w:space="0" w:color="auto"/>
              <w:right w:val="nil"/>
            </w:tcBorders>
            <w:shd w:val="clear" w:color="auto" w:fill="auto"/>
            <w:noWrap/>
            <w:vAlign w:val="center"/>
            <w:hideMark/>
          </w:tcPr>
          <w:p w14:paraId="497F1138"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-4,7%</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2AC46F3B"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+9,0%</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CEBF4C3" w14:textId="77777777" w:rsidR="00907013" w:rsidRPr="007220A1" w:rsidRDefault="00907013" w:rsidP="00C07BA6">
            <w:pPr>
              <w:jc w:val="right"/>
              <w:rPr>
                <w:rFonts w:cstheme="minorHAnsi"/>
                <w:b/>
                <w:bCs/>
                <w:lang w:eastAsia="nl-BE"/>
              </w:rPr>
            </w:pPr>
            <w:r w:rsidRPr="007220A1">
              <w:rPr>
                <w:rFonts w:ascii="Calibri" w:hAnsi="Calibri" w:cs="Calibri"/>
                <w:b/>
                <w:bCs/>
                <w:color w:val="000000"/>
              </w:rPr>
              <w:t>-13,7%</w:t>
            </w:r>
          </w:p>
        </w:tc>
      </w:tr>
      <w:tr w:rsidR="00907013" w:rsidRPr="007220A1" w14:paraId="2A7412FF" w14:textId="77777777" w:rsidTr="00C07BA6">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D95F677" w14:textId="77777777" w:rsidR="00907013" w:rsidRPr="007220A1" w:rsidRDefault="00907013" w:rsidP="00C07BA6">
            <w:pPr>
              <w:rPr>
                <w:rFonts w:cstheme="minorHAnsi"/>
                <w:color w:val="000000"/>
                <w:lang w:eastAsia="nl-BE"/>
              </w:rPr>
            </w:pPr>
            <w:r w:rsidRPr="007220A1">
              <w:rPr>
                <w:rFonts w:cstheme="minorHAnsi"/>
                <w:color w:val="000000"/>
                <w:lang w:eastAsia="nl-BE"/>
              </w:rPr>
              <w:t>Kantoor- en winkelmeubelen</w:t>
            </w:r>
          </w:p>
        </w:tc>
        <w:tc>
          <w:tcPr>
            <w:tcW w:w="952" w:type="dxa"/>
            <w:tcBorders>
              <w:top w:val="nil"/>
              <w:left w:val="nil"/>
              <w:bottom w:val="single" w:sz="4" w:space="0" w:color="auto"/>
              <w:right w:val="nil"/>
            </w:tcBorders>
            <w:shd w:val="clear" w:color="auto" w:fill="auto"/>
            <w:noWrap/>
            <w:vAlign w:val="center"/>
            <w:hideMark/>
          </w:tcPr>
          <w:p w14:paraId="5D1D26FE" w14:textId="77777777" w:rsidR="00907013" w:rsidRPr="007220A1" w:rsidRDefault="00907013" w:rsidP="00C07BA6">
            <w:pPr>
              <w:jc w:val="right"/>
              <w:rPr>
                <w:rFonts w:cstheme="minorHAnsi"/>
                <w:color w:val="000000"/>
                <w:lang w:eastAsia="nl-BE"/>
              </w:rPr>
            </w:pPr>
            <w:r w:rsidRPr="007220A1">
              <w:rPr>
                <w:rFonts w:cstheme="minorHAnsi"/>
                <w:color w:val="000000"/>
                <w:lang w:eastAsia="nl-BE"/>
              </w:rPr>
              <w:t>489,6</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26DD077"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572,8</w:t>
            </w:r>
          </w:p>
        </w:tc>
        <w:tc>
          <w:tcPr>
            <w:tcW w:w="952" w:type="dxa"/>
            <w:tcBorders>
              <w:top w:val="nil"/>
              <w:left w:val="nil"/>
              <w:bottom w:val="single" w:sz="4" w:space="0" w:color="auto"/>
              <w:right w:val="single" w:sz="4" w:space="0" w:color="auto"/>
            </w:tcBorders>
            <w:shd w:val="clear" w:color="auto" w:fill="auto"/>
            <w:noWrap/>
            <w:vAlign w:val="center"/>
            <w:hideMark/>
          </w:tcPr>
          <w:p w14:paraId="09E3382E" w14:textId="77777777" w:rsidR="00907013" w:rsidRPr="007220A1" w:rsidRDefault="00907013" w:rsidP="00C07BA6">
            <w:pPr>
              <w:jc w:val="right"/>
              <w:rPr>
                <w:rFonts w:cstheme="minorHAnsi"/>
                <w:b/>
                <w:bCs/>
                <w:color w:val="000000"/>
                <w:lang w:eastAsia="nl-BE"/>
              </w:rPr>
            </w:pPr>
            <w:r w:rsidRPr="007220A1">
              <w:rPr>
                <w:rFonts w:ascii="Calibri" w:hAnsi="Calibri" w:cs="Calibri"/>
                <w:color w:val="000000"/>
              </w:rPr>
              <w:t>17,0%</w:t>
            </w:r>
          </w:p>
        </w:tc>
        <w:tc>
          <w:tcPr>
            <w:tcW w:w="953" w:type="dxa"/>
            <w:tcBorders>
              <w:top w:val="nil"/>
              <w:left w:val="nil"/>
              <w:bottom w:val="single" w:sz="4" w:space="0" w:color="auto"/>
              <w:right w:val="single" w:sz="4" w:space="0" w:color="auto"/>
            </w:tcBorders>
            <w:shd w:val="clear" w:color="auto" w:fill="auto"/>
            <w:noWrap/>
            <w:vAlign w:val="center"/>
            <w:hideMark/>
          </w:tcPr>
          <w:p w14:paraId="6CEEF31B"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287,6</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25F14E11"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275,9</w:t>
            </w:r>
          </w:p>
        </w:tc>
        <w:tc>
          <w:tcPr>
            <w:tcW w:w="952" w:type="dxa"/>
            <w:tcBorders>
              <w:top w:val="nil"/>
              <w:left w:val="nil"/>
              <w:bottom w:val="single" w:sz="4" w:space="0" w:color="auto"/>
              <w:right w:val="nil"/>
            </w:tcBorders>
            <w:shd w:val="clear" w:color="auto" w:fill="auto"/>
            <w:noWrap/>
            <w:vAlign w:val="center"/>
            <w:hideMark/>
          </w:tcPr>
          <w:p w14:paraId="354CB460"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-4,1%</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5AB08451"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+4,3%</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0D0EF2B" w14:textId="77777777" w:rsidR="00907013" w:rsidRPr="007220A1" w:rsidRDefault="00907013" w:rsidP="00C07BA6">
            <w:pPr>
              <w:jc w:val="right"/>
              <w:rPr>
                <w:rFonts w:cstheme="minorHAnsi"/>
                <w:b/>
                <w:bCs/>
                <w:lang w:eastAsia="nl-BE"/>
              </w:rPr>
            </w:pPr>
            <w:r w:rsidRPr="007220A1">
              <w:rPr>
                <w:rFonts w:ascii="Calibri" w:hAnsi="Calibri" w:cs="Calibri"/>
                <w:b/>
                <w:bCs/>
                <w:color w:val="000000"/>
              </w:rPr>
              <w:t>-8,4%</w:t>
            </w:r>
          </w:p>
        </w:tc>
      </w:tr>
      <w:tr w:rsidR="00907013" w:rsidRPr="007220A1" w14:paraId="6FD6E321" w14:textId="77777777" w:rsidTr="00C07BA6">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2099A53" w14:textId="77777777" w:rsidR="00907013" w:rsidRPr="007220A1" w:rsidRDefault="00907013" w:rsidP="00C07BA6">
            <w:pPr>
              <w:rPr>
                <w:rFonts w:cstheme="minorHAnsi"/>
                <w:color w:val="000000"/>
                <w:lang w:eastAsia="nl-BE"/>
              </w:rPr>
            </w:pPr>
            <w:r w:rsidRPr="007220A1">
              <w:rPr>
                <w:rFonts w:cstheme="minorHAnsi"/>
                <w:color w:val="000000"/>
                <w:lang w:eastAsia="nl-BE"/>
              </w:rPr>
              <w:t>Keukenmeubelen</w:t>
            </w:r>
          </w:p>
        </w:tc>
        <w:tc>
          <w:tcPr>
            <w:tcW w:w="952" w:type="dxa"/>
            <w:tcBorders>
              <w:top w:val="nil"/>
              <w:left w:val="nil"/>
              <w:bottom w:val="single" w:sz="4" w:space="0" w:color="auto"/>
              <w:right w:val="nil"/>
            </w:tcBorders>
            <w:shd w:val="clear" w:color="auto" w:fill="auto"/>
            <w:noWrap/>
            <w:vAlign w:val="center"/>
            <w:hideMark/>
          </w:tcPr>
          <w:p w14:paraId="05724C41" w14:textId="77777777" w:rsidR="00907013" w:rsidRPr="007220A1" w:rsidRDefault="00907013" w:rsidP="00C07BA6">
            <w:pPr>
              <w:jc w:val="right"/>
              <w:rPr>
                <w:rFonts w:cstheme="minorHAnsi"/>
                <w:color w:val="000000"/>
                <w:lang w:eastAsia="nl-BE"/>
              </w:rPr>
            </w:pPr>
            <w:r w:rsidRPr="007220A1">
              <w:rPr>
                <w:rFonts w:cstheme="minorHAnsi"/>
                <w:color w:val="000000"/>
                <w:lang w:eastAsia="nl-BE"/>
              </w:rPr>
              <w:t>482,9</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CE414E3"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513,5</w:t>
            </w:r>
          </w:p>
        </w:tc>
        <w:tc>
          <w:tcPr>
            <w:tcW w:w="952" w:type="dxa"/>
            <w:tcBorders>
              <w:top w:val="nil"/>
              <w:left w:val="nil"/>
              <w:bottom w:val="single" w:sz="4" w:space="0" w:color="auto"/>
              <w:right w:val="single" w:sz="4" w:space="0" w:color="auto"/>
            </w:tcBorders>
            <w:shd w:val="clear" w:color="auto" w:fill="auto"/>
            <w:noWrap/>
            <w:vAlign w:val="center"/>
            <w:hideMark/>
          </w:tcPr>
          <w:p w14:paraId="2501EF94" w14:textId="77777777" w:rsidR="00907013" w:rsidRPr="007220A1" w:rsidRDefault="00907013" w:rsidP="00C07BA6">
            <w:pPr>
              <w:jc w:val="right"/>
              <w:rPr>
                <w:rFonts w:cstheme="minorHAnsi"/>
                <w:b/>
                <w:bCs/>
                <w:color w:val="000000"/>
                <w:lang w:eastAsia="nl-BE"/>
              </w:rPr>
            </w:pPr>
            <w:r w:rsidRPr="007220A1">
              <w:rPr>
                <w:rFonts w:ascii="Calibri" w:hAnsi="Calibri" w:cs="Calibri"/>
                <w:color w:val="000000"/>
              </w:rPr>
              <w:t>6,3%</w:t>
            </w:r>
          </w:p>
        </w:tc>
        <w:tc>
          <w:tcPr>
            <w:tcW w:w="953" w:type="dxa"/>
            <w:tcBorders>
              <w:top w:val="nil"/>
              <w:left w:val="nil"/>
              <w:bottom w:val="single" w:sz="4" w:space="0" w:color="auto"/>
              <w:right w:val="single" w:sz="4" w:space="0" w:color="auto"/>
            </w:tcBorders>
            <w:shd w:val="clear" w:color="auto" w:fill="auto"/>
            <w:noWrap/>
            <w:vAlign w:val="center"/>
            <w:hideMark/>
          </w:tcPr>
          <w:p w14:paraId="5650D38F"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262,8</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75D10A22"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262,2</w:t>
            </w:r>
          </w:p>
        </w:tc>
        <w:tc>
          <w:tcPr>
            <w:tcW w:w="952" w:type="dxa"/>
            <w:tcBorders>
              <w:top w:val="nil"/>
              <w:left w:val="nil"/>
              <w:bottom w:val="single" w:sz="4" w:space="0" w:color="auto"/>
              <w:right w:val="nil"/>
            </w:tcBorders>
            <w:shd w:val="clear" w:color="auto" w:fill="auto"/>
            <w:noWrap/>
            <w:vAlign w:val="center"/>
            <w:hideMark/>
          </w:tcPr>
          <w:p w14:paraId="6F7EBDD9"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-0,2%</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6C4625A4"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+13,5%</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A1EEF80" w14:textId="77777777" w:rsidR="00907013" w:rsidRPr="007220A1" w:rsidRDefault="00907013" w:rsidP="00C07BA6">
            <w:pPr>
              <w:jc w:val="right"/>
              <w:rPr>
                <w:rFonts w:cstheme="minorHAnsi"/>
                <w:b/>
                <w:bCs/>
                <w:lang w:eastAsia="nl-BE"/>
              </w:rPr>
            </w:pPr>
            <w:r w:rsidRPr="007220A1">
              <w:rPr>
                <w:rFonts w:ascii="Calibri" w:hAnsi="Calibri" w:cs="Calibri"/>
                <w:b/>
                <w:bCs/>
                <w:color w:val="000000"/>
              </w:rPr>
              <w:t>-13,7%</w:t>
            </w:r>
          </w:p>
        </w:tc>
      </w:tr>
      <w:tr w:rsidR="00907013" w:rsidRPr="007220A1" w14:paraId="2E5E4B11" w14:textId="77777777" w:rsidTr="00C07BA6">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1D45CD4" w14:textId="77777777" w:rsidR="00907013" w:rsidRPr="007220A1" w:rsidRDefault="00907013" w:rsidP="00C07BA6">
            <w:pPr>
              <w:rPr>
                <w:rFonts w:cstheme="minorHAnsi"/>
                <w:color w:val="000000"/>
                <w:lang w:eastAsia="nl-BE"/>
              </w:rPr>
            </w:pPr>
            <w:r w:rsidRPr="007220A1">
              <w:rPr>
                <w:rFonts w:cstheme="minorHAnsi"/>
                <w:color w:val="000000"/>
                <w:lang w:eastAsia="nl-BE"/>
              </w:rPr>
              <w:t>Matrassen en bodems</w:t>
            </w:r>
          </w:p>
        </w:tc>
        <w:tc>
          <w:tcPr>
            <w:tcW w:w="952" w:type="dxa"/>
            <w:tcBorders>
              <w:top w:val="nil"/>
              <w:left w:val="nil"/>
              <w:bottom w:val="single" w:sz="4" w:space="0" w:color="auto"/>
              <w:right w:val="single" w:sz="4" w:space="0" w:color="auto"/>
            </w:tcBorders>
            <w:shd w:val="clear" w:color="auto" w:fill="auto"/>
            <w:noWrap/>
            <w:vAlign w:val="center"/>
            <w:hideMark/>
          </w:tcPr>
          <w:p w14:paraId="6AFA03F5" w14:textId="77777777" w:rsidR="00907013" w:rsidRPr="007220A1" w:rsidRDefault="00907013" w:rsidP="00C07BA6">
            <w:pPr>
              <w:jc w:val="right"/>
              <w:rPr>
                <w:rFonts w:cstheme="minorHAnsi"/>
                <w:color w:val="000000"/>
                <w:lang w:eastAsia="nl-BE"/>
              </w:rPr>
            </w:pPr>
            <w:r w:rsidRPr="007220A1">
              <w:rPr>
                <w:rFonts w:cstheme="minorHAnsi"/>
                <w:color w:val="000000"/>
                <w:lang w:eastAsia="nl-BE"/>
              </w:rPr>
              <w:t>365,8</w:t>
            </w:r>
          </w:p>
        </w:tc>
        <w:tc>
          <w:tcPr>
            <w:tcW w:w="952" w:type="dxa"/>
            <w:tcBorders>
              <w:top w:val="nil"/>
              <w:left w:val="nil"/>
              <w:bottom w:val="single" w:sz="4" w:space="0" w:color="auto"/>
              <w:right w:val="single" w:sz="4" w:space="0" w:color="auto"/>
            </w:tcBorders>
            <w:shd w:val="clear" w:color="auto" w:fill="auto"/>
            <w:noWrap/>
            <w:vAlign w:val="center"/>
            <w:hideMark/>
          </w:tcPr>
          <w:p w14:paraId="1476D122"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247,7</w:t>
            </w:r>
          </w:p>
        </w:tc>
        <w:tc>
          <w:tcPr>
            <w:tcW w:w="952" w:type="dxa"/>
            <w:tcBorders>
              <w:top w:val="nil"/>
              <w:left w:val="nil"/>
              <w:bottom w:val="single" w:sz="4" w:space="0" w:color="auto"/>
              <w:right w:val="single" w:sz="4" w:space="0" w:color="auto"/>
            </w:tcBorders>
            <w:shd w:val="clear" w:color="auto" w:fill="auto"/>
            <w:noWrap/>
            <w:vAlign w:val="center"/>
            <w:hideMark/>
          </w:tcPr>
          <w:p w14:paraId="2D41B409" w14:textId="77777777" w:rsidR="00907013" w:rsidRPr="007220A1" w:rsidRDefault="00907013" w:rsidP="00C07BA6">
            <w:pPr>
              <w:jc w:val="right"/>
              <w:rPr>
                <w:rFonts w:cstheme="minorHAnsi"/>
                <w:b/>
                <w:bCs/>
                <w:color w:val="000000"/>
                <w:lang w:eastAsia="nl-BE"/>
              </w:rPr>
            </w:pPr>
            <w:r w:rsidRPr="007220A1">
              <w:rPr>
                <w:rFonts w:ascii="Calibri" w:hAnsi="Calibri" w:cs="Calibri"/>
                <w:color w:val="000000"/>
              </w:rPr>
              <w:t>-32,3%</w:t>
            </w:r>
          </w:p>
        </w:tc>
        <w:tc>
          <w:tcPr>
            <w:tcW w:w="953" w:type="dxa"/>
            <w:tcBorders>
              <w:top w:val="nil"/>
              <w:left w:val="nil"/>
              <w:bottom w:val="single" w:sz="4" w:space="0" w:color="auto"/>
              <w:right w:val="single" w:sz="4" w:space="0" w:color="auto"/>
            </w:tcBorders>
            <w:shd w:val="clear" w:color="auto" w:fill="auto"/>
            <w:noWrap/>
            <w:vAlign w:val="center"/>
            <w:hideMark/>
          </w:tcPr>
          <w:p w14:paraId="4CA476F7"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131,7</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5C74B653"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101,8</w:t>
            </w:r>
          </w:p>
        </w:tc>
        <w:tc>
          <w:tcPr>
            <w:tcW w:w="952" w:type="dxa"/>
            <w:tcBorders>
              <w:top w:val="nil"/>
              <w:left w:val="nil"/>
              <w:bottom w:val="single" w:sz="4" w:space="0" w:color="auto"/>
              <w:right w:val="nil"/>
            </w:tcBorders>
            <w:shd w:val="clear" w:color="auto" w:fill="auto"/>
            <w:noWrap/>
            <w:vAlign w:val="center"/>
            <w:hideMark/>
          </w:tcPr>
          <w:p w14:paraId="04836AC5"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-22,7%</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40A3A829" w14:textId="77777777" w:rsidR="00907013" w:rsidRPr="007220A1" w:rsidRDefault="00907013" w:rsidP="00C07BA6">
            <w:pPr>
              <w:jc w:val="right"/>
              <w:rPr>
                <w:rFonts w:cstheme="minorHAnsi"/>
                <w:color w:val="000000"/>
                <w:lang w:eastAsia="nl-BE"/>
              </w:rPr>
            </w:pPr>
            <w:r w:rsidRPr="007220A1">
              <w:rPr>
                <w:rFonts w:ascii="Calibri" w:hAnsi="Calibri" w:cs="Calibri"/>
                <w:color w:val="000000"/>
              </w:rPr>
              <w:t>+3,0%</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1770742" w14:textId="77777777" w:rsidR="00907013" w:rsidRPr="007220A1" w:rsidRDefault="00907013" w:rsidP="00C07BA6">
            <w:pPr>
              <w:jc w:val="right"/>
              <w:rPr>
                <w:rFonts w:cstheme="minorHAnsi"/>
                <w:b/>
                <w:bCs/>
                <w:lang w:eastAsia="nl-BE"/>
              </w:rPr>
            </w:pPr>
            <w:r w:rsidRPr="007220A1">
              <w:rPr>
                <w:rFonts w:ascii="Calibri" w:hAnsi="Calibri" w:cs="Calibri"/>
                <w:b/>
                <w:bCs/>
                <w:color w:val="000000"/>
              </w:rPr>
              <w:t>-25,7%</w:t>
            </w:r>
          </w:p>
        </w:tc>
      </w:tr>
      <w:tr w:rsidR="00907013" w:rsidRPr="007220A1" w14:paraId="05D394D3" w14:textId="77777777" w:rsidTr="00C07BA6">
        <w:trPr>
          <w:trHeight w:val="360"/>
        </w:trPr>
        <w:tc>
          <w:tcPr>
            <w:tcW w:w="2835" w:type="dxa"/>
            <w:tcBorders>
              <w:top w:val="nil"/>
              <w:left w:val="single" w:sz="4" w:space="0" w:color="auto"/>
              <w:bottom w:val="single" w:sz="4" w:space="0" w:color="auto"/>
              <w:right w:val="single" w:sz="4" w:space="0" w:color="auto"/>
            </w:tcBorders>
            <w:shd w:val="clear" w:color="auto" w:fill="FFC000"/>
            <w:noWrap/>
            <w:vAlign w:val="center"/>
            <w:hideMark/>
          </w:tcPr>
          <w:p w14:paraId="727287B7" w14:textId="77777777" w:rsidR="00907013" w:rsidRPr="007220A1" w:rsidRDefault="00907013" w:rsidP="00C07BA6">
            <w:pPr>
              <w:rPr>
                <w:rFonts w:cstheme="minorHAnsi"/>
                <w:color w:val="000000"/>
                <w:lang w:eastAsia="nl-BE"/>
              </w:rPr>
            </w:pPr>
            <w:r w:rsidRPr="007220A1">
              <w:rPr>
                <w:rFonts w:cstheme="minorHAnsi"/>
                <w:color w:val="000000"/>
                <w:lang w:eastAsia="nl-BE"/>
              </w:rPr>
              <w:t>Meubelindustrie</w:t>
            </w:r>
          </w:p>
        </w:tc>
        <w:tc>
          <w:tcPr>
            <w:tcW w:w="952" w:type="dxa"/>
            <w:tcBorders>
              <w:top w:val="nil"/>
              <w:left w:val="nil"/>
              <w:bottom w:val="single" w:sz="4" w:space="0" w:color="auto"/>
              <w:right w:val="single" w:sz="4" w:space="0" w:color="auto"/>
            </w:tcBorders>
            <w:shd w:val="clear" w:color="auto" w:fill="FFC000"/>
            <w:noWrap/>
            <w:vAlign w:val="center"/>
            <w:hideMark/>
          </w:tcPr>
          <w:p w14:paraId="2ECD6EB1" w14:textId="77777777" w:rsidR="00907013" w:rsidRPr="007220A1" w:rsidRDefault="00907013" w:rsidP="00C07BA6">
            <w:pPr>
              <w:jc w:val="right"/>
              <w:rPr>
                <w:rFonts w:cstheme="minorHAnsi"/>
                <w:color w:val="000000"/>
                <w:lang w:eastAsia="nl-BE"/>
              </w:rPr>
            </w:pPr>
            <w:r w:rsidRPr="007220A1">
              <w:rPr>
                <w:rFonts w:cstheme="minorHAnsi"/>
                <w:color w:val="000000"/>
                <w:lang w:eastAsia="nl-BE"/>
              </w:rPr>
              <w:t>2.272,1</w:t>
            </w:r>
          </w:p>
        </w:tc>
        <w:tc>
          <w:tcPr>
            <w:tcW w:w="952" w:type="dxa"/>
            <w:tcBorders>
              <w:top w:val="nil"/>
              <w:left w:val="nil"/>
              <w:bottom w:val="single" w:sz="4" w:space="0" w:color="auto"/>
              <w:right w:val="single" w:sz="4" w:space="0" w:color="auto"/>
            </w:tcBorders>
            <w:shd w:val="clear" w:color="auto" w:fill="FFC000"/>
            <w:noWrap/>
            <w:vAlign w:val="center"/>
            <w:hideMark/>
          </w:tcPr>
          <w:p w14:paraId="1A1C55D8" w14:textId="77777777" w:rsidR="00907013" w:rsidRPr="007220A1" w:rsidRDefault="00907013" w:rsidP="00C07BA6">
            <w:pPr>
              <w:jc w:val="right"/>
              <w:rPr>
                <w:rFonts w:cstheme="minorHAnsi"/>
                <w:color w:val="000000"/>
                <w:lang w:eastAsia="nl-BE"/>
              </w:rPr>
            </w:pPr>
            <w:r w:rsidRPr="007220A1">
              <w:rPr>
                <w:rFonts w:cstheme="minorHAnsi"/>
                <w:color w:val="000000"/>
                <w:lang w:eastAsia="nl-BE"/>
              </w:rPr>
              <w:t>2.263,5</w:t>
            </w:r>
          </w:p>
        </w:tc>
        <w:tc>
          <w:tcPr>
            <w:tcW w:w="952" w:type="dxa"/>
            <w:tcBorders>
              <w:top w:val="nil"/>
              <w:left w:val="nil"/>
              <w:bottom w:val="single" w:sz="4" w:space="0" w:color="auto"/>
              <w:right w:val="single" w:sz="4" w:space="0" w:color="auto"/>
            </w:tcBorders>
            <w:shd w:val="clear" w:color="auto" w:fill="FFC000"/>
            <w:noWrap/>
            <w:vAlign w:val="center"/>
            <w:hideMark/>
          </w:tcPr>
          <w:p w14:paraId="4C15F544" w14:textId="77777777" w:rsidR="00907013" w:rsidRPr="007220A1" w:rsidRDefault="00907013" w:rsidP="00C07BA6">
            <w:pPr>
              <w:jc w:val="right"/>
              <w:rPr>
                <w:rFonts w:cstheme="minorHAnsi"/>
                <w:b/>
                <w:bCs/>
                <w:color w:val="000000"/>
                <w:lang w:eastAsia="nl-BE"/>
              </w:rPr>
            </w:pPr>
            <w:r w:rsidRPr="007220A1">
              <w:rPr>
                <w:rFonts w:cstheme="minorHAnsi"/>
                <w:b/>
                <w:bCs/>
                <w:color w:val="000000"/>
                <w:lang w:eastAsia="nl-BE"/>
              </w:rPr>
              <w:t>-0,4%</w:t>
            </w:r>
          </w:p>
        </w:tc>
        <w:tc>
          <w:tcPr>
            <w:tcW w:w="953" w:type="dxa"/>
            <w:tcBorders>
              <w:top w:val="nil"/>
              <w:left w:val="nil"/>
              <w:bottom w:val="single" w:sz="4" w:space="0" w:color="auto"/>
              <w:right w:val="single" w:sz="4" w:space="0" w:color="auto"/>
            </w:tcBorders>
            <w:shd w:val="clear" w:color="auto" w:fill="FFC000"/>
            <w:noWrap/>
            <w:vAlign w:val="center"/>
            <w:hideMark/>
          </w:tcPr>
          <w:p w14:paraId="016F1B95" w14:textId="77777777" w:rsidR="00907013" w:rsidRPr="007220A1" w:rsidRDefault="00907013" w:rsidP="00C07BA6">
            <w:pPr>
              <w:jc w:val="right"/>
              <w:rPr>
                <w:rFonts w:cstheme="minorHAnsi"/>
                <w:color w:val="000000"/>
                <w:lang w:eastAsia="nl-BE"/>
              </w:rPr>
            </w:pPr>
            <w:r w:rsidRPr="007220A1">
              <w:rPr>
                <w:rFonts w:ascii="Calibri" w:hAnsi="Calibri" w:cs="Calibri"/>
                <w:b/>
                <w:bCs/>
                <w:color w:val="000000"/>
              </w:rPr>
              <w:t>1.171,4</w:t>
            </w:r>
          </w:p>
        </w:tc>
        <w:tc>
          <w:tcPr>
            <w:tcW w:w="952" w:type="dxa"/>
            <w:tcBorders>
              <w:top w:val="nil"/>
              <w:left w:val="nil"/>
              <w:bottom w:val="single" w:sz="4" w:space="0" w:color="auto"/>
              <w:right w:val="single" w:sz="4" w:space="0" w:color="auto"/>
            </w:tcBorders>
            <w:shd w:val="clear" w:color="auto" w:fill="FFC000"/>
            <w:noWrap/>
            <w:vAlign w:val="center"/>
            <w:hideMark/>
          </w:tcPr>
          <w:p w14:paraId="1E81C97F" w14:textId="77777777" w:rsidR="00907013" w:rsidRPr="007220A1" w:rsidRDefault="00907013" w:rsidP="00C07BA6">
            <w:pPr>
              <w:jc w:val="right"/>
              <w:rPr>
                <w:rFonts w:cstheme="minorHAnsi"/>
                <w:color w:val="000000"/>
                <w:lang w:eastAsia="nl-BE"/>
              </w:rPr>
            </w:pPr>
            <w:r w:rsidRPr="007220A1">
              <w:rPr>
                <w:rFonts w:ascii="Calibri" w:hAnsi="Calibri" w:cs="Calibri"/>
                <w:b/>
                <w:bCs/>
                <w:color w:val="000000"/>
              </w:rPr>
              <w:t>1.106,0</w:t>
            </w:r>
          </w:p>
        </w:tc>
        <w:tc>
          <w:tcPr>
            <w:tcW w:w="952" w:type="dxa"/>
            <w:tcBorders>
              <w:top w:val="nil"/>
              <w:left w:val="nil"/>
              <w:bottom w:val="single" w:sz="4" w:space="0" w:color="auto"/>
              <w:right w:val="nil"/>
            </w:tcBorders>
            <w:shd w:val="clear" w:color="auto" w:fill="FFC000"/>
            <w:noWrap/>
            <w:vAlign w:val="center"/>
            <w:hideMark/>
          </w:tcPr>
          <w:p w14:paraId="741BC09C" w14:textId="77777777" w:rsidR="00907013" w:rsidRPr="007220A1" w:rsidRDefault="00907013" w:rsidP="00C07BA6">
            <w:pPr>
              <w:jc w:val="right"/>
              <w:rPr>
                <w:rFonts w:cstheme="minorHAnsi"/>
                <w:color w:val="000000"/>
                <w:lang w:eastAsia="nl-BE"/>
              </w:rPr>
            </w:pPr>
            <w:r w:rsidRPr="007220A1">
              <w:rPr>
                <w:rFonts w:ascii="Calibri" w:hAnsi="Calibri" w:cs="Calibri"/>
                <w:b/>
                <w:bCs/>
                <w:color w:val="000000"/>
              </w:rPr>
              <w:t>-5,6%</w:t>
            </w:r>
          </w:p>
        </w:tc>
        <w:tc>
          <w:tcPr>
            <w:tcW w:w="952" w:type="dxa"/>
            <w:tcBorders>
              <w:top w:val="nil"/>
              <w:left w:val="single" w:sz="12" w:space="0" w:color="auto"/>
              <w:bottom w:val="single" w:sz="4" w:space="0" w:color="auto"/>
              <w:right w:val="single" w:sz="4" w:space="0" w:color="auto"/>
            </w:tcBorders>
            <w:shd w:val="clear" w:color="auto" w:fill="FFC000"/>
            <w:noWrap/>
            <w:vAlign w:val="center"/>
            <w:hideMark/>
          </w:tcPr>
          <w:p w14:paraId="67B92435" w14:textId="77777777" w:rsidR="00907013" w:rsidRPr="007220A1" w:rsidRDefault="00907013" w:rsidP="00C07BA6">
            <w:pPr>
              <w:jc w:val="right"/>
              <w:rPr>
                <w:rFonts w:cstheme="minorHAnsi"/>
                <w:color w:val="000000"/>
                <w:lang w:eastAsia="nl-BE"/>
              </w:rPr>
            </w:pPr>
            <w:r w:rsidRPr="007220A1">
              <w:rPr>
                <w:rFonts w:cstheme="minorHAnsi"/>
                <w:color w:val="000000"/>
                <w:lang w:eastAsia="nl-BE"/>
              </w:rPr>
              <w:t>+6,2%</w:t>
            </w:r>
          </w:p>
        </w:tc>
        <w:tc>
          <w:tcPr>
            <w:tcW w:w="953" w:type="dxa"/>
            <w:tcBorders>
              <w:top w:val="nil"/>
              <w:left w:val="single" w:sz="12" w:space="0" w:color="auto"/>
              <w:bottom w:val="single" w:sz="4" w:space="0" w:color="auto"/>
              <w:right w:val="single" w:sz="4" w:space="0" w:color="auto"/>
            </w:tcBorders>
            <w:shd w:val="clear" w:color="auto" w:fill="FFC000"/>
            <w:noWrap/>
            <w:vAlign w:val="center"/>
            <w:hideMark/>
          </w:tcPr>
          <w:p w14:paraId="44AEED54" w14:textId="77777777" w:rsidR="00907013" w:rsidRPr="007220A1" w:rsidRDefault="00907013" w:rsidP="00C07BA6">
            <w:pPr>
              <w:jc w:val="right"/>
              <w:rPr>
                <w:rFonts w:cstheme="minorHAnsi"/>
                <w:b/>
                <w:bCs/>
                <w:lang w:eastAsia="nl-BE"/>
              </w:rPr>
            </w:pPr>
            <w:r w:rsidRPr="007220A1">
              <w:rPr>
                <w:rFonts w:cstheme="minorHAnsi"/>
                <w:b/>
                <w:bCs/>
                <w:lang w:eastAsia="nl-BE"/>
              </w:rPr>
              <w:t>-11,8%</w:t>
            </w:r>
          </w:p>
        </w:tc>
      </w:tr>
    </w:tbl>
    <w:p w14:paraId="210105F2" w14:textId="77777777" w:rsidR="00907013" w:rsidRPr="00A81DD0" w:rsidRDefault="00907013" w:rsidP="00907013">
      <w:pPr>
        <w:pStyle w:val="BodyText"/>
        <w:tabs>
          <w:tab w:val="clear" w:pos="3884"/>
          <w:tab w:val="left" w:pos="567"/>
        </w:tabs>
        <w:rPr>
          <w:rFonts w:asciiTheme="minorHAnsi" w:hAnsiTheme="minorHAnsi" w:cstheme="minorHAnsi"/>
          <w:sz w:val="16"/>
          <w:szCs w:val="10"/>
        </w:rPr>
      </w:pPr>
      <w:r w:rsidRPr="00A81DD0">
        <w:rPr>
          <w:rFonts w:asciiTheme="minorHAnsi" w:hAnsiTheme="minorHAnsi" w:cstheme="minorHAnsi"/>
          <w:sz w:val="16"/>
          <w:szCs w:val="10"/>
        </w:rPr>
        <w:t>Bron: FOD economie, BTW-aangiften</w:t>
      </w:r>
    </w:p>
    <w:p w14:paraId="3F4DDD98" w14:textId="77777777" w:rsidR="00907013" w:rsidRPr="00A81DD0" w:rsidRDefault="00907013" w:rsidP="00907013">
      <w:pPr>
        <w:pStyle w:val="BodyText"/>
        <w:tabs>
          <w:tab w:val="clear" w:pos="3884"/>
          <w:tab w:val="left" w:pos="567"/>
        </w:tabs>
        <w:rPr>
          <w:rFonts w:asciiTheme="minorHAnsi" w:hAnsiTheme="minorHAnsi" w:cstheme="minorHAnsi"/>
          <w:sz w:val="18"/>
        </w:rPr>
      </w:pPr>
      <w:r w:rsidRPr="00A81DD0">
        <w:rPr>
          <w:rFonts w:asciiTheme="minorHAnsi" w:hAnsiTheme="minorHAnsi" w:cstheme="minorHAnsi"/>
          <w:sz w:val="18"/>
        </w:rPr>
        <w:t>* Voorlopige gegevens</w:t>
      </w:r>
    </w:p>
    <w:p w14:paraId="293AF167" w14:textId="77777777" w:rsidR="00907013" w:rsidRPr="008A6F6A" w:rsidRDefault="00907013" w:rsidP="00907013">
      <w:pPr>
        <w:pStyle w:val="BodyText"/>
        <w:rPr>
          <w:rFonts w:asciiTheme="minorHAnsi" w:hAnsiTheme="minorHAnsi" w:cstheme="minorHAnsi"/>
          <w:szCs w:val="22"/>
        </w:rPr>
      </w:pPr>
    </w:p>
    <w:p w14:paraId="554BC672" w14:textId="77777777" w:rsidR="00907013" w:rsidRDefault="00907013" w:rsidP="00907013">
      <w:pPr>
        <w:pStyle w:val="BodyText"/>
        <w:rPr>
          <w:rFonts w:asciiTheme="minorHAnsi" w:hAnsiTheme="minorHAnsi" w:cstheme="minorBidi"/>
        </w:rPr>
      </w:pPr>
      <w:r w:rsidRPr="6E1B9019">
        <w:rPr>
          <w:rFonts w:asciiTheme="minorHAnsi" w:hAnsiTheme="minorHAnsi" w:cstheme="minorBidi"/>
        </w:rPr>
        <w:lastRenderedPageBreak/>
        <w:t>In het eerste semester van 202</w:t>
      </w:r>
      <w:r>
        <w:rPr>
          <w:rFonts w:asciiTheme="minorHAnsi" w:hAnsiTheme="minorHAnsi" w:cstheme="minorBidi"/>
        </w:rPr>
        <w:t>3</w:t>
      </w:r>
      <w:r w:rsidRPr="6E1B9019">
        <w:rPr>
          <w:rFonts w:asciiTheme="minorHAnsi" w:hAnsiTheme="minorHAnsi" w:cstheme="minorBidi"/>
        </w:rPr>
        <w:t xml:space="preserve"> bedroeg de omzet van de Belgische meubelindustrie </w:t>
      </w:r>
      <w:r>
        <w:rPr>
          <w:rFonts w:asciiTheme="minorHAnsi" w:hAnsiTheme="minorHAnsi" w:cstheme="minorBidi"/>
        </w:rPr>
        <w:t>1.106</w:t>
      </w:r>
      <w:r w:rsidRPr="6E1B9019">
        <w:rPr>
          <w:rFonts w:asciiTheme="minorHAnsi" w:hAnsiTheme="minorHAnsi" w:cstheme="minorBidi"/>
        </w:rPr>
        <w:t xml:space="preserve"> miljoen euro, een </w:t>
      </w:r>
      <w:r>
        <w:rPr>
          <w:rFonts w:asciiTheme="minorHAnsi" w:hAnsiTheme="minorHAnsi" w:cstheme="minorBidi"/>
        </w:rPr>
        <w:t>daling</w:t>
      </w:r>
      <w:r w:rsidRPr="6E1B9019">
        <w:rPr>
          <w:rFonts w:asciiTheme="minorHAnsi" w:hAnsiTheme="minorHAnsi" w:cstheme="minorBidi"/>
        </w:rPr>
        <w:t xml:space="preserve"> met </w:t>
      </w:r>
      <w:r>
        <w:rPr>
          <w:rFonts w:asciiTheme="minorHAnsi" w:hAnsiTheme="minorHAnsi" w:cstheme="minorBidi"/>
        </w:rPr>
        <w:t>5,6</w:t>
      </w:r>
      <w:r w:rsidRPr="6E1B9019">
        <w:rPr>
          <w:rFonts w:asciiTheme="minorHAnsi" w:hAnsiTheme="minorHAnsi" w:cstheme="minorBidi"/>
        </w:rPr>
        <w:t>% in vergelijking met het eerste semester van 202</w:t>
      </w:r>
      <w:r>
        <w:rPr>
          <w:rFonts w:asciiTheme="minorHAnsi" w:hAnsiTheme="minorHAnsi" w:cstheme="minorBidi"/>
        </w:rPr>
        <w:t>2</w:t>
      </w:r>
      <w:r w:rsidRPr="6E1B9019">
        <w:rPr>
          <w:rFonts w:asciiTheme="minorHAnsi" w:hAnsiTheme="minorHAnsi" w:cstheme="minorBidi"/>
        </w:rPr>
        <w:t xml:space="preserve">. Tijdens dezelfde periode stegen de afzetprijzen echter met </w:t>
      </w:r>
      <w:r>
        <w:rPr>
          <w:rFonts w:asciiTheme="minorHAnsi" w:hAnsiTheme="minorHAnsi" w:cstheme="minorBidi"/>
        </w:rPr>
        <w:t>6,2%</w:t>
      </w:r>
      <w:r w:rsidRPr="6E1B9019">
        <w:rPr>
          <w:rFonts w:asciiTheme="minorHAnsi" w:hAnsiTheme="minorHAnsi" w:cstheme="minorBidi"/>
        </w:rPr>
        <w:t xml:space="preserve"> waardoor we in reële termen (volume) een de-facto omzetdaling van </w:t>
      </w:r>
      <w:r>
        <w:rPr>
          <w:rFonts w:asciiTheme="minorHAnsi" w:hAnsiTheme="minorHAnsi" w:cstheme="minorBidi"/>
        </w:rPr>
        <w:t>11,8%</w:t>
      </w:r>
      <w:r w:rsidRPr="6E1B9019">
        <w:rPr>
          <w:rFonts w:asciiTheme="minorHAnsi" w:hAnsiTheme="minorHAnsi" w:cstheme="minorBidi"/>
        </w:rPr>
        <w:t xml:space="preserve"> noteren. </w:t>
      </w:r>
      <w:r>
        <w:rPr>
          <w:rFonts w:asciiTheme="minorHAnsi" w:hAnsiTheme="minorHAnsi" w:cstheme="minorBidi"/>
        </w:rPr>
        <w:t>In 2022 bedroeg de daling van de omzet op jaarbasis 0,4%.</w:t>
      </w:r>
    </w:p>
    <w:p w14:paraId="5708EEEF" w14:textId="77777777" w:rsidR="00907013" w:rsidRDefault="00907013" w:rsidP="00907013">
      <w:pPr>
        <w:pStyle w:val="BodyText"/>
        <w:rPr>
          <w:rFonts w:asciiTheme="minorHAnsi" w:hAnsiTheme="minorHAnsi" w:cstheme="minorHAnsi"/>
          <w:szCs w:val="22"/>
        </w:rPr>
      </w:pPr>
    </w:p>
    <w:p w14:paraId="0CC339C5" w14:textId="77777777" w:rsidR="00907013" w:rsidRDefault="00907013" w:rsidP="00907013">
      <w:pPr>
        <w:pStyle w:val="BodyText"/>
        <w:rPr>
          <w:rFonts w:asciiTheme="minorHAnsi" w:hAnsiTheme="minorHAnsi" w:cstheme="minorBidi"/>
        </w:rPr>
      </w:pPr>
      <w:r w:rsidRPr="4A2E2FB5">
        <w:rPr>
          <w:rFonts w:asciiTheme="minorHAnsi" w:hAnsiTheme="minorHAnsi" w:cstheme="minorBidi"/>
        </w:rPr>
        <w:t xml:space="preserve">Deze prijsstijgingen zijn grotendeels terug te voeren op de gestegen grondstof-, materiaal-, energie- en loonkosten. </w:t>
      </w:r>
    </w:p>
    <w:p w14:paraId="388BE01B" w14:textId="77777777" w:rsidR="00907013" w:rsidRDefault="00907013" w:rsidP="00907013">
      <w:pPr>
        <w:pStyle w:val="BodyText"/>
        <w:rPr>
          <w:rFonts w:asciiTheme="minorHAnsi" w:hAnsiTheme="minorHAnsi" w:cstheme="minorHAnsi"/>
          <w:szCs w:val="22"/>
        </w:rPr>
      </w:pPr>
    </w:p>
    <w:p w14:paraId="692145B8" w14:textId="77777777" w:rsidR="00907013" w:rsidRDefault="00907013" w:rsidP="00907013">
      <w:pPr>
        <w:pStyle w:val="BodyText"/>
        <w:rPr>
          <w:rFonts w:asciiTheme="minorHAnsi" w:hAnsiTheme="minorHAnsi" w:cstheme="minorBidi"/>
        </w:rPr>
      </w:pPr>
      <w:r w:rsidRPr="4A2E2FB5">
        <w:rPr>
          <w:rFonts w:asciiTheme="minorHAnsi" w:hAnsiTheme="minorHAnsi" w:cstheme="minorBidi"/>
        </w:rPr>
        <w:t>Na een markante omzetstijging in 2022 kenden kantoor- en winkelmeubelen in de eerste helft van 2023 een daling met 4,1%. Bij woonmeubilair daalde de omzet met 4,7%. In de eerste helft van 2022 was er nog een bescheiden stijging met 1,9%. Keukenmeubelen stabiliseren mede doordat er minder en minder vergunningen voor nieuwe woningen worden uitgereikt. De hogere rente voor woonleningen houdt daarmee zeker verband. De omzet bij matrassen- en bedbodemproducenten daalde fors. Het faillissement van een belangrijke Belgische producent eerder dit jaar zal daar zeker een rol in hebben gespeeld.</w:t>
      </w:r>
    </w:p>
    <w:p w14:paraId="3C7CA2D9" w14:textId="77777777" w:rsidR="00907013" w:rsidRPr="00196F26" w:rsidRDefault="00907013" w:rsidP="00907013">
      <w:pPr>
        <w:pStyle w:val="BodyText"/>
        <w:rPr>
          <w:rFonts w:asciiTheme="minorHAnsi" w:hAnsiTheme="minorHAnsi" w:cstheme="minorHAnsi"/>
          <w:highlight w:val="yellow"/>
        </w:rPr>
      </w:pPr>
    </w:p>
    <w:p w14:paraId="1480341A" w14:textId="77777777" w:rsidR="00907013" w:rsidRPr="00A81DD0" w:rsidRDefault="00907013" w:rsidP="00907013">
      <w:pPr>
        <w:rPr>
          <w:rFonts w:cstheme="minorHAnsi"/>
          <w:sz w:val="16"/>
          <w:szCs w:val="10"/>
        </w:rPr>
      </w:pPr>
      <w:r w:rsidRPr="00196F26">
        <w:rPr>
          <w:rFonts w:cstheme="minorHAnsi"/>
          <w:noProof/>
          <w:sz w:val="16"/>
          <w:szCs w:val="10"/>
        </w:rPr>
        <w:drawing>
          <wp:inline distT="0" distB="0" distL="0" distR="0" wp14:anchorId="539713B5" wp14:editId="65DBF559">
            <wp:extent cx="5760085" cy="2464661"/>
            <wp:effectExtent l="0" t="0" r="12065" b="12065"/>
            <wp:docPr id="3" name="Grafiek 3">
              <a:extLst xmlns:a="http://schemas.openxmlformats.org/drawingml/2006/main">
                <a:ext uri="{FF2B5EF4-FFF2-40B4-BE49-F238E27FC236}">
                  <a16:creationId xmlns:a16="http://schemas.microsoft.com/office/drawing/2014/main" id="{47FC0CF9-1876-4E1B-8F9F-3372821FE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5B980C" w14:textId="77777777" w:rsidR="00907013" w:rsidRPr="00907013" w:rsidRDefault="00907013" w:rsidP="00907013">
      <w:pPr>
        <w:ind w:firstLine="567"/>
        <w:rPr>
          <w:rFonts w:cstheme="minorHAnsi"/>
          <w:sz w:val="16"/>
          <w:szCs w:val="10"/>
          <w:lang w:val="nl-BE"/>
        </w:rPr>
      </w:pPr>
      <w:r w:rsidRPr="00907013">
        <w:rPr>
          <w:rFonts w:cstheme="minorHAnsi"/>
          <w:sz w:val="16"/>
          <w:szCs w:val="10"/>
          <w:lang w:val="nl-BE"/>
        </w:rPr>
        <w:t>Bron: FOD economie, BTW-aangiften</w:t>
      </w:r>
    </w:p>
    <w:p w14:paraId="75E4CC96" w14:textId="77777777" w:rsidR="00907013" w:rsidRPr="00907013" w:rsidRDefault="00907013" w:rsidP="00907013">
      <w:pPr>
        <w:rPr>
          <w:rFonts w:cstheme="minorHAnsi"/>
          <w:lang w:val="nl-BE"/>
        </w:rPr>
      </w:pPr>
      <w:r w:rsidRPr="00907013">
        <w:rPr>
          <w:rFonts w:cstheme="minorHAnsi"/>
          <w:lang w:val="nl-BE"/>
        </w:rPr>
        <w:br w:type="page"/>
      </w:r>
    </w:p>
    <w:p w14:paraId="6AFC75AF" w14:textId="77777777" w:rsidR="00907013" w:rsidRPr="00B7795A" w:rsidRDefault="00907013" w:rsidP="00907013">
      <w:pPr>
        <w:pStyle w:val="BodyText"/>
        <w:rPr>
          <w:rFonts w:asciiTheme="minorHAnsi" w:hAnsiTheme="minorHAnsi" w:cstheme="minorHAnsi"/>
          <w:b/>
          <w:bCs/>
          <w:u w:val="single"/>
        </w:rPr>
      </w:pPr>
      <w:r w:rsidRPr="00B7795A">
        <w:rPr>
          <w:rFonts w:asciiTheme="minorHAnsi" w:hAnsiTheme="minorHAnsi" w:cstheme="minorHAnsi"/>
          <w:b/>
          <w:bCs/>
          <w:u w:val="single"/>
        </w:rPr>
        <w:lastRenderedPageBreak/>
        <w:t>Investeringen en bezettingsgraad van de productiecapaciteit</w:t>
      </w:r>
    </w:p>
    <w:p w14:paraId="723BAAD0" w14:textId="77777777" w:rsidR="00907013" w:rsidRPr="000B2376" w:rsidRDefault="00907013" w:rsidP="00907013">
      <w:pPr>
        <w:pStyle w:val="BodyText"/>
        <w:rPr>
          <w:rFonts w:asciiTheme="minorHAnsi" w:hAnsiTheme="minorHAnsi" w:cstheme="minorHAnsi"/>
          <w:sz w:val="20"/>
        </w:rPr>
      </w:pPr>
    </w:p>
    <w:p w14:paraId="7614F1A8" w14:textId="77777777" w:rsidR="00907013" w:rsidRPr="000B2376" w:rsidRDefault="00907013" w:rsidP="00907013">
      <w:pPr>
        <w:pStyle w:val="BodyText"/>
        <w:rPr>
          <w:rFonts w:asciiTheme="minorHAnsi" w:hAnsiTheme="minorHAnsi" w:cstheme="minorBidi"/>
        </w:rPr>
      </w:pPr>
      <w:r w:rsidRPr="4A2E2FB5">
        <w:rPr>
          <w:rFonts w:asciiTheme="minorHAnsi" w:hAnsiTheme="minorHAnsi" w:cstheme="minorBidi"/>
        </w:rPr>
        <w:t xml:space="preserve">Tijdens het eerste semester van 2023 investeerde de Belgische meubelindustrie </w:t>
      </w:r>
      <w:r w:rsidRPr="4A2E2FB5">
        <w:rPr>
          <w:rFonts w:asciiTheme="minorHAnsi" w:hAnsiTheme="minorHAnsi" w:cstheme="minorBidi"/>
          <w:spacing w:val="-3"/>
        </w:rPr>
        <w:t xml:space="preserve">48,2 miljoen euro, een stijging met 30,6% </w:t>
      </w:r>
      <w:r w:rsidRPr="4A2E2FB5">
        <w:rPr>
          <w:rFonts w:asciiTheme="minorHAnsi" w:hAnsiTheme="minorHAnsi" w:cstheme="minorBidi"/>
        </w:rPr>
        <w:t xml:space="preserve">in vergelijking met dezelfde periode in 2022. In 2022 werd in totaal 86,1 miljoen euro geïnvesteerd , een toename met 15,4% tegenover 2021. Het forse investeringsvolume lijkt te duiden op een weerspiegeling van het herwonnen vertrouwen van de ondernemers </w:t>
      </w:r>
      <w:r>
        <w:rPr>
          <w:rFonts w:asciiTheme="minorHAnsi" w:hAnsiTheme="minorHAnsi" w:cstheme="minorBidi"/>
        </w:rPr>
        <w:t>in de toekomst</w:t>
      </w:r>
      <w:r w:rsidRPr="4A2E2FB5">
        <w:rPr>
          <w:rFonts w:asciiTheme="minorHAnsi" w:hAnsiTheme="minorHAnsi" w:cstheme="minorBidi"/>
        </w:rPr>
        <w:t xml:space="preserve">. </w:t>
      </w:r>
    </w:p>
    <w:p w14:paraId="1C87C33A" w14:textId="77777777" w:rsidR="00907013" w:rsidRPr="006005CB" w:rsidRDefault="00907013" w:rsidP="00907013">
      <w:pPr>
        <w:pStyle w:val="BodyText"/>
        <w:rPr>
          <w:rFonts w:asciiTheme="minorHAnsi" w:hAnsiTheme="minorHAnsi" w:cstheme="minorHAnsi"/>
        </w:rPr>
      </w:pPr>
    </w:p>
    <w:p w14:paraId="1F595207" w14:textId="77777777" w:rsidR="00907013" w:rsidRPr="006005CB" w:rsidRDefault="00907013" w:rsidP="00907013">
      <w:pPr>
        <w:pStyle w:val="BodyText"/>
        <w:rPr>
          <w:rFonts w:asciiTheme="minorHAnsi" w:hAnsiTheme="minorHAnsi" w:cstheme="minorBidi"/>
        </w:rPr>
      </w:pPr>
      <w:r w:rsidRPr="006005CB">
        <w:rPr>
          <w:rFonts w:asciiTheme="minorHAnsi" w:hAnsiTheme="minorHAnsi" w:cstheme="minorBidi"/>
        </w:rPr>
        <w:t xml:space="preserve">De producenten van kantoor- en winkelmeubelen evenals de keukenproducenten investeerden fors tijdens de eerste 6 maanden van 2023.  Ook de productgroep woonmeubilair kende een behoorlijke stijging van de investeringen. In de productgroep matrassen en </w:t>
      </w:r>
      <w:r w:rsidRPr="3683E271">
        <w:rPr>
          <w:rFonts w:asciiTheme="minorHAnsi" w:hAnsiTheme="minorHAnsi" w:cstheme="minorBidi"/>
        </w:rPr>
        <w:t>bedbodems</w:t>
      </w:r>
      <w:r w:rsidRPr="006005CB">
        <w:rPr>
          <w:rFonts w:asciiTheme="minorHAnsi" w:hAnsiTheme="minorHAnsi" w:cstheme="minorBidi"/>
        </w:rPr>
        <w:t xml:space="preserve"> vielen de investeringen scherp terug.  </w:t>
      </w:r>
    </w:p>
    <w:p w14:paraId="40AC94BC" w14:textId="77777777" w:rsidR="00907013" w:rsidRPr="006005CB" w:rsidRDefault="00907013" w:rsidP="00907013">
      <w:pPr>
        <w:pStyle w:val="BodyText"/>
        <w:rPr>
          <w:rFonts w:asciiTheme="minorHAnsi" w:hAnsiTheme="minorHAnsi" w:cstheme="minorHAn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7"/>
        <w:gridCol w:w="851"/>
        <w:gridCol w:w="850"/>
        <w:gridCol w:w="992"/>
        <w:gridCol w:w="993"/>
        <w:gridCol w:w="1134"/>
        <w:gridCol w:w="1275"/>
      </w:tblGrid>
      <w:tr w:rsidR="00907013" w:rsidRPr="0070085D" w14:paraId="2B42C22B" w14:textId="77777777" w:rsidTr="00C07BA6">
        <w:tc>
          <w:tcPr>
            <w:tcW w:w="9062" w:type="dxa"/>
            <w:gridSpan w:val="7"/>
            <w:shd w:val="clear" w:color="auto" w:fill="FFC000"/>
            <w:tcMar>
              <w:top w:w="15" w:type="dxa"/>
              <w:left w:w="70" w:type="dxa"/>
              <w:bottom w:w="0" w:type="dxa"/>
              <w:right w:w="70" w:type="dxa"/>
            </w:tcMar>
            <w:vAlign w:val="center"/>
            <w:hideMark/>
          </w:tcPr>
          <w:p w14:paraId="37D2C0FF" w14:textId="77777777" w:rsidR="00907013" w:rsidRPr="006005CB" w:rsidRDefault="00907013" w:rsidP="00C07BA6">
            <w:pPr>
              <w:pStyle w:val="BodyText"/>
              <w:jc w:val="center"/>
              <w:rPr>
                <w:rFonts w:asciiTheme="minorHAnsi" w:hAnsiTheme="minorHAnsi" w:cstheme="minorHAnsi"/>
                <w:sz w:val="20"/>
                <w:lang w:val="nl-NL"/>
              </w:rPr>
            </w:pPr>
            <w:bookmarkStart w:id="0" w:name="_Hlk148967022"/>
            <w:r w:rsidRPr="006005CB">
              <w:rPr>
                <w:rFonts w:asciiTheme="minorHAnsi" w:hAnsiTheme="minorHAnsi" w:cstheme="minorHAnsi"/>
                <w:b/>
                <w:bCs/>
                <w:sz w:val="20"/>
              </w:rPr>
              <w:t>Evolutie van de investeringen in de meubelindustrie</w:t>
            </w:r>
          </w:p>
        </w:tc>
      </w:tr>
      <w:tr w:rsidR="00907013" w:rsidRPr="006005CB" w14:paraId="16115DC5" w14:textId="77777777" w:rsidTr="00C07BA6">
        <w:tc>
          <w:tcPr>
            <w:tcW w:w="2967" w:type="dxa"/>
            <w:shd w:val="clear" w:color="auto" w:fill="auto"/>
            <w:tcMar>
              <w:top w:w="15" w:type="dxa"/>
              <w:left w:w="70" w:type="dxa"/>
              <w:bottom w:w="0" w:type="dxa"/>
              <w:right w:w="70" w:type="dxa"/>
            </w:tcMar>
            <w:vAlign w:val="center"/>
            <w:hideMark/>
          </w:tcPr>
          <w:p w14:paraId="3B1FA2B2" w14:textId="77777777" w:rsidR="00907013" w:rsidRPr="006005CB" w:rsidRDefault="00907013" w:rsidP="00C07BA6">
            <w:pPr>
              <w:pStyle w:val="BodyText"/>
              <w:jc w:val="center"/>
              <w:rPr>
                <w:rFonts w:asciiTheme="minorHAnsi" w:hAnsiTheme="minorHAnsi" w:cstheme="minorHAnsi"/>
                <w:b/>
                <w:sz w:val="20"/>
                <w:lang w:val="nl-NL"/>
              </w:rPr>
            </w:pPr>
            <w:r w:rsidRPr="006005CB">
              <w:rPr>
                <w:rFonts w:asciiTheme="minorHAnsi" w:hAnsiTheme="minorHAnsi" w:cstheme="minorHAnsi"/>
                <w:b/>
                <w:bCs/>
                <w:sz w:val="20"/>
              </w:rPr>
              <w:t>In miljoen EUR</w:t>
            </w:r>
          </w:p>
        </w:tc>
        <w:tc>
          <w:tcPr>
            <w:tcW w:w="851" w:type="dxa"/>
            <w:shd w:val="clear" w:color="auto" w:fill="auto"/>
            <w:tcMar>
              <w:top w:w="15" w:type="dxa"/>
              <w:left w:w="70" w:type="dxa"/>
              <w:bottom w:w="0" w:type="dxa"/>
              <w:right w:w="70" w:type="dxa"/>
            </w:tcMar>
            <w:vAlign w:val="center"/>
            <w:hideMark/>
          </w:tcPr>
          <w:p w14:paraId="47B14D8C"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2021</w:t>
            </w:r>
          </w:p>
        </w:tc>
        <w:tc>
          <w:tcPr>
            <w:tcW w:w="850" w:type="dxa"/>
            <w:shd w:val="clear" w:color="auto" w:fill="auto"/>
            <w:tcMar>
              <w:top w:w="15" w:type="dxa"/>
              <w:left w:w="70" w:type="dxa"/>
              <w:bottom w:w="0" w:type="dxa"/>
              <w:right w:w="70" w:type="dxa"/>
            </w:tcMar>
            <w:vAlign w:val="center"/>
            <w:hideMark/>
          </w:tcPr>
          <w:p w14:paraId="77F8C740"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2022</w:t>
            </w:r>
          </w:p>
        </w:tc>
        <w:tc>
          <w:tcPr>
            <w:tcW w:w="992" w:type="dxa"/>
            <w:shd w:val="clear" w:color="auto" w:fill="auto"/>
            <w:tcMar>
              <w:top w:w="15" w:type="dxa"/>
              <w:left w:w="70" w:type="dxa"/>
              <w:bottom w:w="0" w:type="dxa"/>
              <w:right w:w="70" w:type="dxa"/>
            </w:tcMar>
            <w:vAlign w:val="center"/>
            <w:hideMark/>
          </w:tcPr>
          <w:p w14:paraId="1E00E8D3" w14:textId="77777777" w:rsidR="00907013" w:rsidRPr="006005CB" w:rsidRDefault="00907013" w:rsidP="00C07BA6">
            <w:pPr>
              <w:pStyle w:val="BodyText"/>
              <w:jc w:val="right"/>
              <w:rPr>
                <w:rFonts w:asciiTheme="minorHAnsi" w:hAnsiTheme="minorHAnsi" w:cstheme="minorBidi"/>
                <w:b/>
                <w:bCs/>
                <w:sz w:val="20"/>
              </w:rPr>
            </w:pPr>
            <w:r w:rsidRPr="006005CB">
              <w:rPr>
                <w:rFonts w:asciiTheme="minorHAnsi" w:hAnsiTheme="minorHAnsi" w:cstheme="minorBidi"/>
                <w:b/>
                <w:bCs/>
                <w:sz w:val="20"/>
              </w:rPr>
              <w:t>22/21</w:t>
            </w:r>
          </w:p>
        </w:tc>
        <w:tc>
          <w:tcPr>
            <w:tcW w:w="993" w:type="dxa"/>
            <w:shd w:val="clear" w:color="auto" w:fill="auto"/>
            <w:tcMar>
              <w:top w:w="15" w:type="dxa"/>
              <w:left w:w="70" w:type="dxa"/>
              <w:bottom w:w="0" w:type="dxa"/>
              <w:right w:w="70" w:type="dxa"/>
            </w:tcMar>
            <w:vAlign w:val="center"/>
            <w:hideMark/>
          </w:tcPr>
          <w:p w14:paraId="23F0A2D2"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6 m 22</w:t>
            </w:r>
          </w:p>
        </w:tc>
        <w:tc>
          <w:tcPr>
            <w:tcW w:w="1134" w:type="dxa"/>
            <w:shd w:val="clear" w:color="auto" w:fill="auto"/>
            <w:tcMar>
              <w:top w:w="15" w:type="dxa"/>
              <w:left w:w="70" w:type="dxa"/>
              <w:bottom w:w="0" w:type="dxa"/>
              <w:right w:w="70" w:type="dxa"/>
            </w:tcMar>
            <w:vAlign w:val="center"/>
            <w:hideMark/>
          </w:tcPr>
          <w:p w14:paraId="61A326A8"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6 m 23*</w:t>
            </w:r>
          </w:p>
        </w:tc>
        <w:tc>
          <w:tcPr>
            <w:tcW w:w="1275" w:type="dxa"/>
            <w:shd w:val="clear" w:color="auto" w:fill="auto"/>
            <w:tcMar>
              <w:top w:w="15" w:type="dxa"/>
              <w:left w:w="70" w:type="dxa"/>
              <w:bottom w:w="0" w:type="dxa"/>
              <w:right w:w="70" w:type="dxa"/>
            </w:tcMar>
            <w:vAlign w:val="center"/>
            <w:hideMark/>
          </w:tcPr>
          <w:p w14:paraId="4B0EE91A"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6 m 23/22*</w:t>
            </w:r>
          </w:p>
        </w:tc>
      </w:tr>
      <w:tr w:rsidR="00907013" w:rsidRPr="006005CB" w14:paraId="686755EC" w14:textId="77777777" w:rsidTr="00C07BA6">
        <w:tc>
          <w:tcPr>
            <w:tcW w:w="2967" w:type="dxa"/>
            <w:shd w:val="clear" w:color="auto" w:fill="auto"/>
            <w:tcMar>
              <w:top w:w="15" w:type="dxa"/>
              <w:left w:w="70" w:type="dxa"/>
              <w:bottom w:w="0" w:type="dxa"/>
              <w:right w:w="70" w:type="dxa"/>
            </w:tcMar>
            <w:vAlign w:val="center"/>
            <w:hideMark/>
          </w:tcPr>
          <w:p w14:paraId="33470172" w14:textId="77777777" w:rsidR="00907013" w:rsidRPr="006005CB" w:rsidRDefault="00907013" w:rsidP="00C07BA6">
            <w:pPr>
              <w:pStyle w:val="BodyText"/>
              <w:jc w:val="left"/>
              <w:rPr>
                <w:rFonts w:asciiTheme="minorHAnsi" w:hAnsiTheme="minorHAnsi" w:cstheme="minorHAnsi"/>
                <w:sz w:val="20"/>
                <w:lang w:val="nl-NL"/>
              </w:rPr>
            </w:pPr>
            <w:r w:rsidRPr="006005CB">
              <w:rPr>
                <w:rFonts w:asciiTheme="minorHAnsi" w:hAnsiTheme="minorHAnsi" w:cstheme="minorHAnsi"/>
                <w:bCs/>
                <w:sz w:val="20"/>
              </w:rPr>
              <w:t>Stoelen en zitmeubelen, eetkamer-, slaapkamer-, tuin- en terrasmeubelen</w:t>
            </w:r>
          </w:p>
        </w:tc>
        <w:tc>
          <w:tcPr>
            <w:tcW w:w="851" w:type="dxa"/>
            <w:shd w:val="clear" w:color="auto" w:fill="auto"/>
            <w:tcMar>
              <w:top w:w="15" w:type="dxa"/>
              <w:left w:w="70" w:type="dxa"/>
              <w:bottom w:w="0" w:type="dxa"/>
              <w:right w:w="70" w:type="dxa"/>
            </w:tcMar>
            <w:vAlign w:val="center"/>
          </w:tcPr>
          <w:p w14:paraId="460F32B4"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40,0</w:t>
            </w:r>
          </w:p>
        </w:tc>
        <w:tc>
          <w:tcPr>
            <w:tcW w:w="850" w:type="dxa"/>
            <w:shd w:val="clear" w:color="auto" w:fill="auto"/>
            <w:tcMar>
              <w:top w:w="15" w:type="dxa"/>
              <w:left w:w="70" w:type="dxa"/>
              <w:bottom w:w="0" w:type="dxa"/>
              <w:right w:w="70" w:type="dxa"/>
            </w:tcMar>
            <w:vAlign w:val="center"/>
          </w:tcPr>
          <w:p w14:paraId="5018F762"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43,9</w:t>
            </w:r>
          </w:p>
        </w:tc>
        <w:tc>
          <w:tcPr>
            <w:tcW w:w="992" w:type="dxa"/>
            <w:shd w:val="clear" w:color="auto" w:fill="auto"/>
            <w:tcMar>
              <w:top w:w="15" w:type="dxa"/>
              <w:left w:w="70" w:type="dxa"/>
              <w:bottom w:w="0" w:type="dxa"/>
              <w:right w:w="70" w:type="dxa"/>
            </w:tcMar>
            <w:vAlign w:val="center"/>
            <w:hideMark/>
          </w:tcPr>
          <w:p w14:paraId="68D75C31"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+9,8%</w:t>
            </w:r>
          </w:p>
        </w:tc>
        <w:tc>
          <w:tcPr>
            <w:tcW w:w="993" w:type="dxa"/>
            <w:shd w:val="clear" w:color="auto" w:fill="auto"/>
            <w:tcMar>
              <w:top w:w="15" w:type="dxa"/>
              <w:left w:w="70" w:type="dxa"/>
              <w:bottom w:w="0" w:type="dxa"/>
              <w:right w:w="70" w:type="dxa"/>
            </w:tcMar>
            <w:vAlign w:val="center"/>
          </w:tcPr>
          <w:p w14:paraId="28F8ABBA"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19,0</w:t>
            </w:r>
          </w:p>
        </w:tc>
        <w:tc>
          <w:tcPr>
            <w:tcW w:w="1134" w:type="dxa"/>
            <w:shd w:val="clear" w:color="auto" w:fill="auto"/>
            <w:tcMar>
              <w:top w:w="15" w:type="dxa"/>
              <w:left w:w="70" w:type="dxa"/>
              <w:bottom w:w="0" w:type="dxa"/>
              <w:right w:w="70" w:type="dxa"/>
            </w:tcMar>
            <w:vAlign w:val="center"/>
          </w:tcPr>
          <w:p w14:paraId="66E0D5EF"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24,0</w:t>
            </w:r>
          </w:p>
        </w:tc>
        <w:tc>
          <w:tcPr>
            <w:tcW w:w="1275" w:type="dxa"/>
            <w:shd w:val="clear" w:color="auto" w:fill="auto"/>
            <w:tcMar>
              <w:top w:w="15" w:type="dxa"/>
              <w:left w:w="70" w:type="dxa"/>
              <w:bottom w:w="0" w:type="dxa"/>
              <w:right w:w="70" w:type="dxa"/>
            </w:tcMar>
            <w:vAlign w:val="center"/>
            <w:hideMark/>
          </w:tcPr>
          <w:p w14:paraId="5A7C2A15"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+26,3%</w:t>
            </w:r>
          </w:p>
        </w:tc>
      </w:tr>
      <w:tr w:rsidR="00907013" w:rsidRPr="006005CB" w14:paraId="7C013FB2" w14:textId="77777777" w:rsidTr="00C07BA6">
        <w:tc>
          <w:tcPr>
            <w:tcW w:w="2967" w:type="dxa"/>
            <w:shd w:val="clear" w:color="auto" w:fill="auto"/>
            <w:tcMar>
              <w:top w:w="15" w:type="dxa"/>
              <w:left w:w="70" w:type="dxa"/>
              <w:bottom w:w="0" w:type="dxa"/>
              <w:right w:w="70" w:type="dxa"/>
            </w:tcMar>
            <w:vAlign w:val="center"/>
            <w:hideMark/>
          </w:tcPr>
          <w:p w14:paraId="5F5826F5" w14:textId="77777777" w:rsidR="00907013" w:rsidRPr="006005CB" w:rsidRDefault="00907013" w:rsidP="00C07BA6">
            <w:pPr>
              <w:pStyle w:val="BodyText"/>
              <w:rPr>
                <w:rFonts w:asciiTheme="minorHAnsi" w:hAnsiTheme="minorHAnsi" w:cstheme="minorHAnsi"/>
                <w:sz w:val="20"/>
                <w:lang w:val="nl-NL"/>
              </w:rPr>
            </w:pPr>
            <w:r w:rsidRPr="006005CB">
              <w:rPr>
                <w:rFonts w:asciiTheme="minorHAnsi" w:hAnsiTheme="minorHAnsi" w:cstheme="minorHAnsi"/>
                <w:bCs/>
                <w:sz w:val="20"/>
              </w:rPr>
              <w:t>Kantoor- en winkelmeubelen</w:t>
            </w:r>
          </w:p>
        </w:tc>
        <w:tc>
          <w:tcPr>
            <w:tcW w:w="851" w:type="dxa"/>
            <w:shd w:val="clear" w:color="auto" w:fill="auto"/>
            <w:tcMar>
              <w:top w:w="15" w:type="dxa"/>
              <w:left w:w="70" w:type="dxa"/>
              <w:bottom w:w="0" w:type="dxa"/>
              <w:right w:w="70" w:type="dxa"/>
            </w:tcMar>
            <w:vAlign w:val="center"/>
          </w:tcPr>
          <w:p w14:paraId="53DB783E"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10,2</w:t>
            </w:r>
          </w:p>
        </w:tc>
        <w:tc>
          <w:tcPr>
            <w:tcW w:w="850" w:type="dxa"/>
            <w:shd w:val="clear" w:color="auto" w:fill="auto"/>
            <w:tcMar>
              <w:top w:w="15" w:type="dxa"/>
              <w:left w:w="70" w:type="dxa"/>
              <w:bottom w:w="0" w:type="dxa"/>
              <w:right w:w="70" w:type="dxa"/>
            </w:tcMar>
            <w:vAlign w:val="center"/>
          </w:tcPr>
          <w:p w14:paraId="25A0CA4D"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12,0</w:t>
            </w:r>
          </w:p>
        </w:tc>
        <w:tc>
          <w:tcPr>
            <w:tcW w:w="992" w:type="dxa"/>
            <w:shd w:val="clear" w:color="auto" w:fill="auto"/>
            <w:tcMar>
              <w:top w:w="15" w:type="dxa"/>
              <w:left w:w="70" w:type="dxa"/>
              <w:bottom w:w="0" w:type="dxa"/>
              <w:right w:w="70" w:type="dxa"/>
            </w:tcMar>
            <w:vAlign w:val="center"/>
            <w:hideMark/>
          </w:tcPr>
          <w:p w14:paraId="247DB568"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+17,6%</w:t>
            </w:r>
          </w:p>
        </w:tc>
        <w:tc>
          <w:tcPr>
            <w:tcW w:w="993" w:type="dxa"/>
            <w:shd w:val="clear" w:color="auto" w:fill="auto"/>
            <w:tcMar>
              <w:top w:w="15" w:type="dxa"/>
              <w:left w:w="70" w:type="dxa"/>
              <w:bottom w:w="0" w:type="dxa"/>
              <w:right w:w="70" w:type="dxa"/>
            </w:tcMar>
            <w:vAlign w:val="center"/>
          </w:tcPr>
          <w:p w14:paraId="05A50A90"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5,4</w:t>
            </w:r>
          </w:p>
        </w:tc>
        <w:tc>
          <w:tcPr>
            <w:tcW w:w="1134" w:type="dxa"/>
            <w:shd w:val="clear" w:color="auto" w:fill="auto"/>
            <w:tcMar>
              <w:top w:w="15" w:type="dxa"/>
              <w:left w:w="70" w:type="dxa"/>
              <w:bottom w:w="0" w:type="dxa"/>
              <w:right w:w="70" w:type="dxa"/>
            </w:tcMar>
            <w:vAlign w:val="center"/>
          </w:tcPr>
          <w:p w14:paraId="2792D722"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10,1</w:t>
            </w:r>
          </w:p>
        </w:tc>
        <w:tc>
          <w:tcPr>
            <w:tcW w:w="1275" w:type="dxa"/>
            <w:shd w:val="clear" w:color="auto" w:fill="auto"/>
            <w:tcMar>
              <w:top w:w="15" w:type="dxa"/>
              <w:left w:w="70" w:type="dxa"/>
              <w:bottom w:w="0" w:type="dxa"/>
              <w:right w:w="70" w:type="dxa"/>
            </w:tcMar>
            <w:vAlign w:val="center"/>
            <w:hideMark/>
          </w:tcPr>
          <w:p w14:paraId="4753FC42"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+87,0%</w:t>
            </w:r>
          </w:p>
        </w:tc>
      </w:tr>
      <w:tr w:rsidR="00907013" w:rsidRPr="006005CB" w14:paraId="1BE31A51" w14:textId="77777777" w:rsidTr="00C07BA6">
        <w:tc>
          <w:tcPr>
            <w:tcW w:w="2967" w:type="dxa"/>
            <w:shd w:val="clear" w:color="auto" w:fill="auto"/>
            <w:tcMar>
              <w:top w:w="15" w:type="dxa"/>
              <w:left w:w="70" w:type="dxa"/>
              <w:bottom w:w="0" w:type="dxa"/>
              <w:right w:w="70" w:type="dxa"/>
            </w:tcMar>
            <w:vAlign w:val="center"/>
            <w:hideMark/>
          </w:tcPr>
          <w:p w14:paraId="56F59A0E" w14:textId="77777777" w:rsidR="00907013" w:rsidRPr="006005CB" w:rsidRDefault="00907013" w:rsidP="00C07BA6">
            <w:pPr>
              <w:pStyle w:val="BodyText"/>
              <w:rPr>
                <w:rFonts w:asciiTheme="minorHAnsi" w:hAnsiTheme="minorHAnsi" w:cstheme="minorHAnsi"/>
                <w:sz w:val="20"/>
                <w:lang w:val="nl-NL"/>
              </w:rPr>
            </w:pPr>
            <w:r w:rsidRPr="006005CB">
              <w:rPr>
                <w:rFonts w:asciiTheme="minorHAnsi" w:hAnsiTheme="minorHAnsi" w:cstheme="minorHAnsi"/>
                <w:bCs/>
                <w:sz w:val="20"/>
              </w:rPr>
              <w:t>Keukenmeubelen</w:t>
            </w:r>
          </w:p>
        </w:tc>
        <w:tc>
          <w:tcPr>
            <w:tcW w:w="851" w:type="dxa"/>
            <w:shd w:val="clear" w:color="auto" w:fill="auto"/>
            <w:tcMar>
              <w:top w:w="15" w:type="dxa"/>
              <w:left w:w="70" w:type="dxa"/>
              <w:bottom w:w="0" w:type="dxa"/>
              <w:right w:w="70" w:type="dxa"/>
            </w:tcMar>
            <w:vAlign w:val="center"/>
          </w:tcPr>
          <w:p w14:paraId="2723F7CF"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17,5</w:t>
            </w:r>
          </w:p>
        </w:tc>
        <w:tc>
          <w:tcPr>
            <w:tcW w:w="850" w:type="dxa"/>
            <w:shd w:val="clear" w:color="auto" w:fill="auto"/>
            <w:tcMar>
              <w:top w:w="15" w:type="dxa"/>
              <w:left w:w="70" w:type="dxa"/>
              <w:bottom w:w="0" w:type="dxa"/>
              <w:right w:w="70" w:type="dxa"/>
            </w:tcMar>
            <w:vAlign w:val="center"/>
          </w:tcPr>
          <w:p w14:paraId="29E6892E"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23,3</w:t>
            </w:r>
          </w:p>
        </w:tc>
        <w:tc>
          <w:tcPr>
            <w:tcW w:w="992" w:type="dxa"/>
            <w:shd w:val="clear" w:color="auto" w:fill="auto"/>
            <w:tcMar>
              <w:top w:w="15" w:type="dxa"/>
              <w:left w:w="70" w:type="dxa"/>
              <w:bottom w:w="0" w:type="dxa"/>
              <w:right w:w="70" w:type="dxa"/>
            </w:tcMar>
            <w:vAlign w:val="center"/>
            <w:hideMark/>
          </w:tcPr>
          <w:p w14:paraId="0C298068"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+33,1%</w:t>
            </w:r>
          </w:p>
        </w:tc>
        <w:tc>
          <w:tcPr>
            <w:tcW w:w="993" w:type="dxa"/>
            <w:shd w:val="clear" w:color="auto" w:fill="auto"/>
            <w:tcMar>
              <w:top w:w="15" w:type="dxa"/>
              <w:left w:w="70" w:type="dxa"/>
              <w:bottom w:w="0" w:type="dxa"/>
              <w:right w:w="70" w:type="dxa"/>
            </w:tcMar>
            <w:vAlign w:val="center"/>
          </w:tcPr>
          <w:p w14:paraId="2F2FCF54"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7,8</w:t>
            </w:r>
          </w:p>
        </w:tc>
        <w:tc>
          <w:tcPr>
            <w:tcW w:w="1134" w:type="dxa"/>
            <w:shd w:val="clear" w:color="auto" w:fill="auto"/>
            <w:tcMar>
              <w:top w:w="15" w:type="dxa"/>
              <w:left w:w="70" w:type="dxa"/>
              <w:bottom w:w="0" w:type="dxa"/>
              <w:right w:w="70" w:type="dxa"/>
            </w:tcMar>
            <w:vAlign w:val="center"/>
          </w:tcPr>
          <w:p w14:paraId="5831902C"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13,2</w:t>
            </w:r>
          </w:p>
        </w:tc>
        <w:tc>
          <w:tcPr>
            <w:tcW w:w="1275" w:type="dxa"/>
            <w:shd w:val="clear" w:color="auto" w:fill="auto"/>
            <w:tcMar>
              <w:top w:w="15" w:type="dxa"/>
              <w:left w:w="70" w:type="dxa"/>
              <w:bottom w:w="0" w:type="dxa"/>
              <w:right w:w="70" w:type="dxa"/>
            </w:tcMar>
            <w:vAlign w:val="center"/>
            <w:hideMark/>
          </w:tcPr>
          <w:p w14:paraId="0074CCD8"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+69,2%</w:t>
            </w:r>
          </w:p>
        </w:tc>
      </w:tr>
      <w:tr w:rsidR="00907013" w:rsidRPr="006005CB" w14:paraId="384846BC" w14:textId="77777777" w:rsidTr="00C07BA6">
        <w:tc>
          <w:tcPr>
            <w:tcW w:w="2967" w:type="dxa"/>
            <w:shd w:val="clear" w:color="auto" w:fill="auto"/>
            <w:tcMar>
              <w:top w:w="15" w:type="dxa"/>
              <w:left w:w="70" w:type="dxa"/>
              <w:bottom w:w="0" w:type="dxa"/>
              <w:right w:w="70" w:type="dxa"/>
            </w:tcMar>
            <w:vAlign w:val="center"/>
            <w:hideMark/>
          </w:tcPr>
          <w:p w14:paraId="72755078" w14:textId="77777777" w:rsidR="00907013" w:rsidRPr="006005CB" w:rsidRDefault="00907013" w:rsidP="00C07BA6">
            <w:pPr>
              <w:pStyle w:val="BodyText"/>
              <w:rPr>
                <w:rFonts w:asciiTheme="minorHAnsi" w:hAnsiTheme="minorHAnsi" w:cstheme="minorHAnsi"/>
                <w:sz w:val="20"/>
                <w:lang w:val="nl-NL"/>
              </w:rPr>
            </w:pPr>
            <w:r w:rsidRPr="006005CB">
              <w:rPr>
                <w:rFonts w:asciiTheme="minorHAnsi" w:hAnsiTheme="minorHAnsi" w:cstheme="minorHAnsi"/>
                <w:bCs/>
                <w:sz w:val="20"/>
              </w:rPr>
              <w:t>Matrassen en bodems</w:t>
            </w:r>
          </w:p>
        </w:tc>
        <w:tc>
          <w:tcPr>
            <w:tcW w:w="851" w:type="dxa"/>
            <w:shd w:val="clear" w:color="auto" w:fill="auto"/>
            <w:tcMar>
              <w:top w:w="15" w:type="dxa"/>
              <w:left w:w="70" w:type="dxa"/>
              <w:bottom w:w="0" w:type="dxa"/>
              <w:right w:w="70" w:type="dxa"/>
            </w:tcMar>
            <w:vAlign w:val="center"/>
          </w:tcPr>
          <w:p w14:paraId="199CF608"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6,8</w:t>
            </w:r>
          </w:p>
        </w:tc>
        <w:tc>
          <w:tcPr>
            <w:tcW w:w="850" w:type="dxa"/>
            <w:shd w:val="clear" w:color="auto" w:fill="auto"/>
            <w:tcMar>
              <w:top w:w="15" w:type="dxa"/>
              <w:left w:w="70" w:type="dxa"/>
              <w:bottom w:w="0" w:type="dxa"/>
              <w:right w:w="70" w:type="dxa"/>
            </w:tcMar>
            <w:vAlign w:val="center"/>
          </w:tcPr>
          <w:p w14:paraId="35975877"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6,9</w:t>
            </w:r>
          </w:p>
        </w:tc>
        <w:tc>
          <w:tcPr>
            <w:tcW w:w="992" w:type="dxa"/>
            <w:shd w:val="clear" w:color="auto" w:fill="auto"/>
            <w:tcMar>
              <w:top w:w="15" w:type="dxa"/>
              <w:left w:w="70" w:type="dxa"/>
              <w:bottom w:w="0" w:type="dxa"/>
              <w:right w:w="70" w:type="dxa"/>
            </w:tcMar>
            <w:vAlign w:val="center"/>
            <w:hideMark/>
          </w:tcPr>
          <w:p w14:paraId="0A29929E"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+1,5%</w:t>
            </w:r>
          </w:p>
        </w:tc>
        <w:tc>
          <w:tcPr>
            <w:tcW w:w="993" w:type="dxa"/>
            <w:shd w:val="clear" w:color="auto" w:fill="auto"/>
            <w:tcMar>
              <w:top w:w="15" w:type="dxa"/>
              <w:left w:w="70" w:type="dxa"/>
              <w:bottom w:w="0" w:type="dxa"/>
              <w:right w:w="70" w:type="dxa"/>
            </w:tcMar>
            <w:vAlign w:val="center"/>
          </w:tcPr>
          <w:p w14:paraId="77EA7284"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4,8</w:t>
            </w:r>
          </w:p>
        </w:tc>
        <w:tc>
          <w:tcPr>
            <w:tcW w:w="1134" w:type="dxa"/>
            <w:shd w:val="clear" w:color="auto" w:fill="auto"/>
            <w:tcMar>
              <w:top w:w="15" w:type="dxa"/>
              <w:left w:w="70" w:type="dxa"/>
              <w:bottom w:w="0" w:type="dxa"/>
              <w:right w:w="70" w:type="dxa"/>
            </w:tcMar>
            <w:vAlign w:val="center"/>
          </w:tcPr>
          <w:p w14:paraId="783817DA" w14:textId="77777777" w:rsidR="00907013" w:rsidRPr="006005CB" w:rsidRDefault="00907013" w:rsidP="00C07BA6">
            <w:pPr>
              <w:pStyle w:val="BodyText"/>
              <w:jc w:val="right"/>
              <w:rPr>
                <w:rFonts w:asciiTheme="minorHAnsi" w:hAnsiTheme="minorHAnsi" w:cstheme="minorBidi"/>
                <w:sz w:val="20"/>
                <w:lang w:val="nl-NL"/>
              </w:rPr>
            </w:pPr>
            <w:r w:rsidRPr="006005CB">
              <w:rPr>
                <w:rFonts w:asciiTheme="minorHAnsi" w:hAnsiTheme="minorHAnsi" w:cstheme="minorBidi"/>
                <w:sz w:val="20"/>
                <w:lang w:val="nl-NL"/>
              </w:rPr>
              <w:t>1,0</w:t>
            </w:r>
          </w:p>
        </w:tc>
        <w:tc>
          <w:tcPr>
            <w:tcW w:w="1275" w:type="dxa"/>
            <w:shd w:val="clear" w:color="auto" w:fill="auto"/>
            <w:tcMar>
              <w:top w:w="15" w:type="dxa"/>
              <w:left w:w="70" w:type="dxa"/>
              <w:bottom w:w="0" w:type="dxa"/>
              <w:right w:w="70" w:type="dxa"/>
            </w:tcMar>
            <w:vAlign w:val="center"/>
            <w:hideMark/>
          </w:tcPr>
          <w:p w14:paraId="1AF80799"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-79,2%</w:t>
            </w:r>
          </w:p>
        </w:tc>
      </w:tr>
      <w:tr w:rsidR="00907013" w:rsidRPr="006005CB" w14:paraId="3F4E0217" w14:textId="77777777" w:rsidTr="00C07BA6">
        <w:tc>
          <w:tcPr>
            <w:tcW w:w="2967" w:type="dxa"/>
            <w:shd w:val="clear" w:color="auto" w:fill="FFC000"/>
            <w:tcMar>
              <w:top w:w="15" w:type="dxa"/>
              <w:left w:w="70" w:type="dxa"/>
              <w:bottom w:w="0" w:type="dxa"/>
              <w:right w:w="70" w:type="dxa"/>
            </w:tcMar>
            <w:vAlign w:val="center"/>
            <w:hideMark/>
          </w:tcPr>
          <w:p w14:paraId="47CE5F15" w14:textId="77777777" w:rsidR="00907013" w:rsidRPr="006005CB" w:rsidRDefault="00907013" w:rsidP="00C07BA6">
            <w:pPr>
              <w:pStyle w:val="BodyText"/>
              <w:rPr>
                <w:rFonts w:asciiTheme="minorHAnsi" w:hAnsiTheme="minorHAnsi" w:cstheme="minorHAnsi"/>
                <w:b/>
                <w:sz w:val="20"/>
                <w:lang w:val="nl-NL"/>
              </w:rPr>
            </w:pPr>
            <w:r w:rsidRPr="006005CB">
              <w:rPr>
                <w:rFonts w:asciiTheme="minorHAnsi" w:hAnsiTheme="minorHAnsi" w:cstheme="minorHAnsi"/>
                <w:b/>
                <w:bCs/>
                <w:sz w:val="20"/>
              </w:rPr>
              <w:t xml:space="preserve">Totale meubelindustrie </w:t>
            </w:r>
          </w:p>
        </w:tc>
        <w:tc>
          <w:tcPr>
            <w:tcW w:w="851" w:type="dxa"/>
            <w:shd w:val="clear" w:color="auto" w:fill="FFC000"/>
            <w:tcMar>
              <w:top w:w="15" w:type="dxa"/>
              <w:left w:w="70" w:type="dxa"/>
              <w:bottom w:w="0" w:type="dxa"/>
              <w:right w:w="70" w:type="dxa"/>
            </w:tcMar>
            <w:vAlign w:val="center"/>
          </w:tcPr>
          <w:p w14:paraId="532278BA"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lang w:val="nl-NL"/>
              </w:rPr>
              <w:t>74,6</w:t>
            </w:r>
          </w:p>
        </w:tc>
        <w:tc>
          <w:tcPr>
            <w:tcW w:w="850" w:type="dxa"/>
            <w:shd w:val="clear" w:color="auto" w:fill="FFC000"/>
            <w:tcMar>
              <w:top w:w="15" w:type="dxa"/>
              <w:left w:w="70" w:type="dxa"/>
              <w:bottom w:w="0" w:type="dxa"/>
              <w:right w:w="70" w:type="dxa"/>
            </w:tcMar>
            <w:vAlign w:val="center"/>
          </w:tcPr>
          <w:p w14:paraId="6C7E5813"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lang w:val="nl-NL"/>
              </w:rPr>
              <w:t>86,1</w:t>
            </w:r>
          </w:p>
        </w:tc>
        <w:tc>
          <w:tcPr>
            <w:tcW w:w="992" w:type="dxa"/>
            <w:shd w:val="clear" w:color="auto" w:fill="FFC000"/>
            <w:tcMar>
              <w:top w:w="15" w:type="dxa"/>
              <w:left w:w="70" w:type="dxa"/>
              <w:bottom w:w="0" w:type="dxa"/>
              <w:right w:w="70" w:type="dxa"/>
            </w:tcMar>
            <w:vAlign w:val="center"/>
            <w:hideMark/>
          </w:tcPr>
          <w:p w14:paraId="4605CF4E"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+15,4</w:t>
            </w:r>
          </w:p>
        </w:tc>
        <w:tc>
          <w:tcPr>
            <w:tcW w:w="993" w:type="dxa"/>
            <w:shd w:val="clear" w:color="auto" w:fill="FFC000"/>
            <w:tcMar>
              <w:top w:w="15" w:type="dxa"/>
              <w:left w:w="70" w:type="dxa"/>
              <w:bottom w:w="0" w:type="dxa"/>
              <w:right w:w="70" w:type="dxa"/>
            </w:tcMar>
            <w:vAlign w:val="center"/>
          </w:tcPr>
          <w:p w14:paraId="67EECDA8"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lang w:val="nl-NL"/>
              </w:rPr>
              <w:t>36,9</w:t>
            </w:r>
          </w:p>
        </w:tc>
        <w:tc>
          <w:tcPr>
            <w:tcW w:w="1134" w:type="dxa"/>
            <w:shd w:val="clear" w:color="auto" w:fill="FFC000"/>
            <w:tcMar>
              <w:top w:w="15" w:type="dxa"/>
              <w:left w:w="70" w:type="dxa"/>
              <w:bottom w:w="0" w:type="dxa"/>
              <w:right w:w="70" w:type="dxa"/>
            </w:tcMar>
            <w:vAlign w:val="center"/>
          </w:tcPr>
          <w:p w14:paraId="4F549C91"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lang w:val="nl-NL"/>
              </w:rPr>
              <w:t>48,2</w:t>
            </w:r>
          </w:p>
        </w:tc>
        <w:tc>
          <w:tcPr>
            <w:tcW w:w="1275" w:type="dxa"/>
            <w:shd w:val="clear" w:color="auto" w:fill="FFC000"/>
            <w:tcMar>
              <w:top w:w="15" w:type="dxa"/>
              <w:left w:w="70" w:type="dxa"/>
              <w:bottom w:w="0" w:type="dxa"/>
              <w:right w:w="70" w:type="dxa"/>
            </w:tcMar>
            <w:vAlign w:val="center"/>
            <w:hideMark/>
          </w:tcPr>
          <w:p w14:paraId="7C074E26" w14:textId="77777777" w:rsidR="00907013" w:rsidRPr="006005CB" w:rsidRDefault="00907013" w:rsidP="00C07BA6">
            <w:pPr>
              <w:pStyle w:val="BodyText"/>
              <w:jc w:val="right"/>
              <w:rPr>
                <w:rFonts w:asciiTheme="minorHAnsi" w:hAnsiTheme="minorHAnsi" w:cstheme="minorBidi"/>
                <w:b/>
                <w:bCs/>
                <w:sz w:val="20"/>
                <w:lang w:val="nl-NL"/>
              </w:rPr>
            </w:pPr>
            <w:r w:rsidRPr="006005CB">
              <w:rPr>
                <w:rFonts w:asciiTheme="minorHAnsi" w:hAnsiTheme="minorHAnsi" w:cstheme="minorBidi"/>
                <w:b/>
                <w:bCs/>
                <w:sz w:val="20"/>
              </w:rPr>
              <w:t>+30,6%</w:t>
            </w:r>
          </w:p>
        </w:tc>
      </w:tr>
    </w:tbl>
    <w:bookmarkEnd w:id="0"/>
    <w:p w14:paraId="2EB2F09E" w14:textId="77777777" w:rsidR="00907013" w:rsidRPr="006005CB" w:rsidRDefault="00907013" w:rsidP="00907013">
      <w:pPr>
        <w:pStyle w:val="BodyText"/>
        <w:tabs>
          <w:tab w:val="clear" w:pos="3884"/>
          <w:tab w:val="left" w:pos="567"/>
        </w:tabs>
        <w:rPr>
          <w:rFonts w:asciiTheme="minorHAnsi" w:hAnsiTheme="minorHAnsi" w:cstheme="minorHAnsi"/>
          <w:sz w:val="16"/>
          <w:szCs w:val="16"/>
        </w:rPr>
      </w:pPr>
      <w:r w:rsidRPr="006005CB">
        <w:rPr>
          <w:rFonts w:asciiTheme="minorHAnsi" w:hAnsiTheme="minorHAnsi" w:cstheme="minorHAnsi"/>
          <w:sz w:val="16"/>
          <w:szCs w:val="16"/>
        </w:rPr>
        <w:t xml:space="preserve">Bron: FOD economie, BTW-aangiften </w:t>
      </w:r>
    </w:p>
    <w:p w14:paraId="21C5A315" w14:textId="77777777" w:rsidR="00907013" w:rsidRPr="00B7795A" w:rsidRDefault="00907013" w:rsidP="00907013">
      <w:pPr>
        <w:pStyle w:val="BodyText"/>
        <w:tabs>
          <w:tab w:val="clear" w:pos="3884"/>
          <w:tab w:val="left" w:pos="567"/>
        </w:tabs>
        <w:rPr>
          <w:rFonts w:asciiTheme="minorHAnsi" w:hAnsiTheme="minorHAnsi" w:cstheme="minorHAnsi"/>
          <w:sz w:val="18"/>
          <w:szCs w:val="18"/>
        </w:rPr>
      </w:pPr>
      <w:r w:rsidRPr="006005CB">
        <w:rPr>
          <w:rFonts w:asciiTheme="minorHAnsi" w:hAnsiTheme="minorHAnsi" w:cstheme="minorHAnsi"/>
          <w:sz w:val="18"/>
          <w:szCs w:val="18"/>
        </w:rPr>
        <w:t>* Voorlopige gegevens</w:t>
      </w:r>
    </w:p>
    <w:p w14:paraId="360E339F" w14:textId="77777777" w:rsidR="00907013" w:rsidRPr="00B7795A" w:rsidRDefault="00907013" w:rsidP="00907013">
      <w:pPr>
        <w:pStyle w:val="BodyText"/>
        <w:tabs>
          <w:tab w:val="clear" w:pos="3884"/>
          <w:tab w:val="left" w:pos="567"/>
        </w:tabs>
        <w:rPr>
          <w:rFonts w:asciiTheme="minorHAnsi" w:hAnsiTheme="minorHAnsi" w:cstheme="minorHAnsi"/>
          <w:sz w:val="18"/>
          <w:szCs w:val="18"/>
        </w:rPr>
      </w:pPr>
    </w:p>
    <w:p w14:paraId="59DF302E" w14:textId="77777777" w:rsidR="00907013" w:rsidRPr="00B7795A" w:rsidRDefault="00907013" w:rsidP="00907013">
      <w:pPr>
        <w:pStyle w:val="BodyText"/>
        <w:rPr>
          <w:rFonts w:asciiTheme="minorHAnsi" w:hAnsiTheme="minorHAnsi" w:cstheme="minorBidi"/>
        </w:rPr>
      </w:pPr>
      <w:r w:rsidRPr="4A2E2FB5">
        <w:rPr>
          <w:rFonts w:asciiTheme="minorHAnsi" w:hAnsiTheme="minorHAnsi" w:cstheme="minorBidi"/>
        </w:rPr>
        <w:t>De bezettingsgraad van de productiecapaciteit in de Belgische meubelindustrie kon zich de voorbije jaren boven de 80% houden, maar kende sinds het derde kwartaal 2022 een terugval. Met 72,5% in het tweede kwartaal van 2023 hebben we een dieptepunt bereikt in de voorbije 10 jaar.</w:t>
      </w:r>
    </w:p>
    <w:p w14:paraId="6248313F" w14:textId="77777777" w:rsidR="00907013" w:rsidRPr="00B7795A" w:rsidRDefault="00907013" w:rsidP="00907013">
      <w:pPr>
        <w:pStyle w:val="BodyText"/>
        <w:rPr>
          <w:rFonts w:asciiTheme="minorHAnsi" w:hAnsiTheme="minorHAnsi" w:cstheme="minorHAnsi"/>
          <w:szCs w:val="22"/>
        </w:rPr>
      </w:pPr>
    </w:p>
    <w:p w14:paraId="0696243E" w14:textId="77777777" w:rsidR="00907013" w:rsidRPr="00A81DD0" w:rsidRDefault="00907013" w:rsidP="00907013">
      <w:pPr>
        <w:pStyle w:val="BodyText"/>
        <w:jc w:val="center"/>
        <w:rPr>
          <w:rFonts w:asciiTheme="minorHAnsi" w:hAnsiTheme="minorHAnsi" w:cstheme="minorHAnsi"/>
          <w:szCs w:val="22"/>
        </w:rPr>
      </w:pPr>
      <w:r w:rsidRPr="00A81DD0">
        <w:rPr>
          <w:rFonts w:asciiTheme="minorHAnsi" w:hAnsiTheme="minorHAnsi" w:cstheme="minorHAnsi"/>
          <w:b/>
          <w:sz w:val="24"/>
          <w:szCs w:val="22"/>
        </w:rPr>
        <w:t>Bezettingsgraad van de productiecapaciteit in de Belgische meubelindustrie</w:t>
      </w:r>
      <w:r w:rsidRPr="00A81DD0">
        <w:rPr>
          <w:rFonts w:asciiTheme="minorHAnsi" w:hAnsiTheme="minorHAnsi" w:cstheme="minorHAnsi"/>
          <w:sz w:val="10"/>
          <w:szCs w:val="22"/>
        </w:rPr>
        <w:drawing>
          <wp:inline distT="0" distB="0" distL="0" distR="0" wp14:anchorId="42603511" wp14:editId="7FE0AFED">
            <wp:extent cx="5759532" cy="2547257"/>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F916A5" w14:textId="77777777" w:rsidR="00907013" w:rsidRPr="00A81DD0" w:rsidRDefault="00907013" w:rsidP="00907013">
      <w:pPr>
        <w:pStyle w:val="BodyText"/>
        <w:tabs>
          <w:tab w:val="clear" w:pos="3884"/>
        </w:tabs>
        <w:jc w:val="left"/>
        <w:rPr>
          <w:rFonts w:asciiTheme="minorHAnsi" w:hAnsiTheme="minorHAnsi" w:cstheme="minorHAnsi"/>
          <w:sz w:val="16"/>
          <w:szCs w:val="22"/>
        </w:rPr>
      </w:pPr>
      <w:r w:rsidRPr="00A81DD0">
        <w:rPr>
          <w:rFonts w:asciiTheme="minorHAnsi" w:hAnsiTheme="minorHAnsi" w:cstheme="minorHAnsi"/>
          <w:sz w:val="16"/>
          <w:szCs w:val="22"/>
        </w:rPr>
        <w:tab/>
        <w:t>Bron: Nationale Bank van België</w:t>
      </w:r>
    </w:p>
    <w:p w14:paraId="16E693A8" w14:textId="77777777" w:rsidR="00907013" w:rsidRPr="00FF4695" w:rsidRDefault="00907013" w:rsidP="00907013">
      <w:pPr>
        <w:pStyle w:val="BodyText"/>
        <w:rPr>
          <w:rFonts w:asciiTheme="minorHAnsi" w:hAnsiTheme="minorHAnsi" w:cstheme="minorHAnsi"/>
          <w:szCs w:val="22"/>
          <w:highlight w:val="yellow"/>
        </w:rPr>
      </w:pPr>
    </w:p>
    <w:p w14:paraId="2FEB187A" w14:textId="77777777" w:rsidR="007079D1" w:rsidRDefault="007079D1">
      <w:pPr>
        <w:rPr>
          <w:rFonts w:eastAsia="Times New Roman"/>
          <w:b/>
          <w:bCs/>
          <w:noProof/>
          <w:szCs w:val="20"/>
          <w:u w:val="single"/>
          <w:lang w:val="nl-BE" w:eastAsia="nl-NL"/>
        </w:rPr>
      </w:pPr>
      <w:r w:rsidRPr="0070085D">
        <w:rPr>
          <w:b/>
          <w:bCs/>
          <w:u w:val="single"/>
          <w:lang w:val="nl-BE"/>
        </w:rPr>
        <w:br w:type="page"/>
      </w:r>
    </w:p>
    <w:p w14:paraId="26BB5419" w14:textId="570D2FAE" w:rsidR="00907013" w:rsidRPr="008F5600" w:rsidRDefault="00907013" w:rsidP="00907013">
      <w:pPr>
        <w:pStyle w:val="BodyText"/>
        <w:rPr>
          <w:rFonts w:asciiTheme="minorHAnsi" w:hAnsiTheme="minorHAnsi" w:cstheme="minorBidi"/>
          <w:b/>
          <w:bCs/>
          <w:u w:val="single"/>
        </w:rPr>
      </w:pPr>
      <w:r w:rsidRPr="4A2E2FB5">
        <w:rPr>
          <w:rFonts w:asciiTheme="minorHAnsi" w:hAnsiTheme="minorHAnsi" w:cstheme="minorBidi"/>
          <w:b/>
          <w:bCs/>
          <w:u w:val="single"/>
        </w:rPr>
        <w:lastRenderedPageBreak/>
        <w:t>Tewerkstelling blijft op peil in de Belgische meubelsector</w:t>
      </w:r>
    </w:p>
    <w:p w14:paraId="7B96022B" w14:textId="77777777" w:rsidR="00907013" w:rsidRPr="008F5600" w:rsidRDefault="00907013" w:rsidP="00907013">
      <w:pPr>
        <w:pStyle w:val="BodyText"/>
        <w:rPr>
          <w:rFonts w:asciiTheme="minorHAnsi" w:hAnsiTheme="minorHAnsi" w:cstheme="minorHAnsi"/>
        </w:rPr>
      </w:pPr>
    </w:p>
    <w:p w14:paraId="44DE2993" w14:textId="77777777" w:rsidR="00907013" w:rsidRPr="008F5600" w:rsidRDefault="00907013" w:rsidP="00907013">
      <w:pPr>
        <w:pStyle w:val="BodyText"/>
        <w:rPr>
          <w:rFonts w:asciiTheme="minorHAnsi" w:hAnsiTheme="minorHAnsi" w:cstheme="minorBidi"/>
        </w:rPr>
      </w:pPr>
      <w:r w:rsidRPr="6E1B9019">
        <w:rPr>
          <w:rFonts w:asciiTheme="minorHAnsi" w:hAnsiTheme="minorHAnsi" w:cstheme="minorBidi"/>
        </w:rPr>
        <w:t>7</w:t>
      </w:r>
      <w:r>
        <w:rPr>
          <w:rFonts w:asciiTheme="minorHAnsi" w:hAnsiTheme="minorHAnsi" w:cstheme="minorBidi"/>
        </w:rPr>
        <w:t>22</w:t>
      </w:r>
      <w:r w:rsidRPr="6E1B9019">
        <w:rPr>
          <w:rFonts w:asciiTheme="minorHAnsi" w:hAnsiTheme="minorHAnsi" w:cstheme="minorBidi"/>
        </w:rPr>
        <w:t xml:space="preserve"> bedrijven stelden in 202</w:t>
      </w:r>
      <w:r>
        <w:rPr>
          <w:rFonts w:asciiTheme="minorHAnsi" w:hAnsiTheme="minorHAnsi" w:cstheme="minorBidi"/>
        </w:rPr>
        <w:t>2</w:t>
      </w:r>
      <w:r w:rsidRPr="6E1B9019">
        <w:rPr>
          <w:rFonts w:asciiTheme="minorHAnsi" w:hAnsiTheme="minorHAnsi" w:cstheme="minorBidi"/>
        </w:rPr>
        <w:t xml:space="preserve"> </w:t>
      </w:r>
      <w:r>
        <w:rPr>
          <w:rFonts w:asciiTheme="minorHAnsi" w:hAnsiTheme="minorHAnsi" w:cstheme="minorBidi"/>
        </w:rPr>
        <w:t>9.763</w:t>
      </w:r>
      <w:r w:rsidRPr="6E1B9019">
        <w:rPr>
          <w:rFonts w:asciiTheme="minorHAnsi" w:hAnsiTheme="minorHAnsi" w:cstheme="minorBidi"/>
        </w:rPr>
        <w:t xml:space="preserve"> medewerkers tewerk, een </w:t>
      </w:r>
      <w:r>
        <w:rPr>
          <w:rFonts w:asciiTheme="minorHAnsi" w:hAnsiTheme="minorHAnsi" w:cstheme="minorBidi"/>
        </w:rPr>
        <w:t xml:space="preserve">beperkte </w:t>
      </w:r>
      <w:r w:rsidRPr="6E1B9019">
        <w:rPr>
          <w:rFonts w:asciiTheme="minorHAnsi" w:hAnsiTheme="minorHAnsi" w:cstheme="minorBidi"/>
        </w:rPr>
        <w:t xml:space="preserve">daling met </w:t>
      </w:r>
      <w:r>
        <w:rPr>
          <w:rFonts w:asciiTheme="minorHAnsi" w:hAnsiTheme="minorHAnsi" w:cstheme="minorBidi"/>
        </w:rPr>
        <w:t>61</w:t>
      </w:r>
      <w:r w:rsidRPr="6E1B9019">
        <w:rPr>
          <w:rFonts w:asciiTheme="minorHAnsi" w:hAnsiTheme="minorHAnsi" w:cstheme="minorBidi"/>
        </w:rPr>
        <w:t xml:space="preserve"> eenheden in vergelijking met 202</w:t>
      </w:r>
      <w:r>
        <w:rPr>
          <w:rFonts w:asciiTheme="minorHAnsi" w:hAnsiTheme="minorHAnsi" w:cstheme="minorBidi"/>
        </w:rPr>
        <w:t>1</w:t>
      </w:r>
      <w:r w:rsidRPr="6E1B9019">
        <w:rPr>
          <w:rFonts w:asciiTheme="minorHAnsi" w:hAnsiTheme="minorHAnsi" w:cstheme="minorBidi"/>
        </w:rPr>
        <w:t>. De tewerkstelling bleef dan ook</w:t>
      </w:r>
      <w:r>
        <w:rPr>
          <w:rFonts w:asciiTheme="minorHAnsi" w:hAnsiTheme="minorHAnsi" w:cstheme="minorBidi"/>
        </w:rPr>
        <w:t xml:space="preserve"> vrij goed op peil. </w:t>
      </w:r>
    </w:p>
    <w:p w14:paraId="19EDD348" w14:textId="77777777" w:rsidR="00907013" w:rsidRDefault="00907013" w:rsidP="00907013">
      <w:pPr>
        <w:pStyle w:val="BodyText"/>
        <w:rPr>
          <w:rFonts w:asciiTheme="minorHAnsi" w:hAnsiTheme="minorHAnsi" w:cstheme="minorHAnsi"/>
          <w:szCs w:val="22"/>
        </w:rPr>
      </w:pPr>
    </w:p>
    <w:p w14:paraId="16589428" w14:textId="77777777" w:rsidR="00907013" w:rsidRDefault="00907013" w:rsidP="00907013">
      <w:pPr>
        <w:pStyle w:val="BodyText"/>
        <w:rPr>
          <w:rFonts w:asciiTheme="minorHAnsi" w:hAnsiTheme="minorHAnsi" w:cstheme="minorBidi"/>
        </w:rPr>
      </w:pPr>
      <w:r>
        <w:rPr>
          <w:rFonts w:asciiTheme="minorHAnsi" w:hAnsiTheme="minorHAnsi" w:cstheme="minorHAnsi"/>
          <w:szCs w:val="22"/>
        </w:rPr>
        <w:t xml:space="preserve">Spijts de dalende economische activiteitsgraad blijven de bedrijven op zoek </w:t>
      </w:r>
      <w:r w:rsidRPr="6E1B9019">
        <w:rPr>
          <w:rFonts w:asciiTheme="minorHAnsi" w:hAnsiTheme="minorHAnsi" w:cstheme="minorBidi"/>
        </w:rPr>
        <w:t>naar technisch geschoolde medewerkers om de uitstroom van oudere werknemers op te vangen.</w:t>
      </w:r>
      <w:r>
        <w:rPr>
          <w:rFonts w:asciiTheme="minorHAnsi" w:hAnsiTheme="minorHAnsi" w:cstheme="minorBidi"/>
        </w:rPr>
        <w:t xml:space="preserve"> Vanuit Fedustria wordt werk gemaakt van acties om jongeren warm te maken voor een opleiding en een job in de meubelsector.</w:t>
      </w:r>
    </w:p>
    <w:p w14:paraId="135924CF" w14:textId="77777777" w:rsidR="00907013" w:rsidRDefault="00907013" w:rsidP="00907013">
      <w:pPr>
        <w:pStyle w:val="BodyText"/>
        <w:rPr>
          <w:rFonts w:asciiTheme="minorHAnsi" w:hAnsiTheme="minorHAnsi" w:cstheme="minorBidi"/>
        </w:rPr>
      </w:pPr>
    </w:p>
    <w:p w14:paraId="25AB0E18" w14:textId="77777777" w:rsidR="00907013" w:rsidRPr="00A81DD0" w:rsidRDefault="00907013" w:rsidP="00907013">
      <w:pPr>
        <w:pStyle w:val="BodyText"/>
        <w:rPr>
          <w:rFonts w:asciiTheme="minorHAnsi" w:hAnsiTheme="minorHAnsi" w:cstheme="minorHAnsi"/>
          <w:b/>
          <w:bCs/>
          <w:u w:val="single"/>
        </w:rPr>
      </w:pPr>
      <w:r w:rsidRPr="00A81DD0">
        <w:rPr>
          <w:rFonts w:asciiTheme="minorHAnsi" w:hAnsiTheme="minorHAnsi" w:cstheme="minorHAnsi"/>
          <w:b/>
          <w:bCs/>
          <w:u w:val="single"/>
        </w:rPr>
        <w:t>Consumentenvertrouwen</w:t>
      </w:r>
      <w:r>
        <w:rPr>
          <w:rFonts w:asciiTheme="minorHAnsi" w:hAnsiTheme="minorHAnsi" w:cstheme="minorHAnsi"/>
          <w:b/>
          <w:bCs/>
          <w:u w:val="single"/>
        </w:rPr>
        <w:t xml:space="preserve"> bereikt historisch dieptepunt</w:t>
      </w:r>
    </w:p>
    <w:p w14:paraId="2E487B86" w14:textId="77777777" w:rsidR="00907013" w:rsidRPr="00A81DD0" w:rsidRDefault="00907013" w:rsidP="00907013">
      <w:pPr>
        <w:pStyle w:val="BodyText"/>
        <w:rPr>
          <w:rFonts w:asciiTheme="minorHAnsi" w:hAnsiTheme="minorHAnsi" w:cstheme="minorHAnsi"/>
        </w:rPr>
      </w:pPr>
    </w:p>
    <w:p w14:paraId="2DB77E20" w14:textId="77777777" w:rsidR="00907013" w:rsidRDefault="00907013" w:rsidP="00907013">
      <w:pPr>
        <w:pStyle w:val="BodyText"/>
        <w:rPr>
          <w:rFonts w:asciiTheme="minorHAnsi" w:hAnsiTheme="minorHAnsi" w:cstheme="minorBidi"/>
        </w:rPr>
      </w:pPr>
      <w:r>
        <w:rPr>
          <w:rFonts w:asciiTheme="minorHAnsi" w:hAnsiTheme="minorHAnsi" w:cstheme="minorBidi"/>
        </w:rPr>
        <w:t>Na een historisch dieptepunt midden 2022 herstelden zowel het Belgisch als Europees consumentenvertrouwen lichtjes vooraleer in de zomer van 2023 opnieuw terug te vallen.</w:t>
      </w:r>
    </w:p>
    <w:p w14:paraId="736E5F2C" w14:textId="77777777" w:rsidR="00907013" w:rsidRDefault="00907013" w:rsidP="00907013">
      <w:pPr>
        <w:pStyle w:val="BodyText"/>
        <w:rPr>
          <w:rFonts w:asciiTheme="minorHAnsi" w:hAnsiTheme="minorHAnsi" w:cstheme="minorBidi"/>
        </w:rPr>
      </w:pPr>
    </w:p>
    <w:p w14:paraId="6C461B1C" w14:textId="77777777" w:rsidR="00907013" w:rsidRDefault="00907013" w:rsidP="00907013">
      <w:pPr>
        <w:pStyle w:val="BodyText"/>
        <w:rPr>
          <w:rFonts w:asciiTheme="minorHAnsi" w:hAnsiTheme="minorHAnsi" w:cstheme="minorBidi"/>
        </w:rPr>
      </w:pPr>
      <w:r w:rsidRPr="4A2E2FB5">
        <w:rPr>
          <w:rFonts w:asciiTheme="minorHAnsi" w:hAnsiTheme="minorHAnsi" w:cstheme="minorBidi"/>
        </w:rPr>
        <w:t>Belangrijke factoren met een impact op het vertrouwen zijn grotendeels onveranderd gebleven. De inflatie bleef naar verhouding hoog, prijzen daalden maar gedeeltelijk en de oorlog in Oekraïne loopt vast zonder uitzicht op een oplossing. Recentelijk kwam er de Hamas-aanval op Israël en dito reactie bij, wat ook zijn gevolgen heeft op de Europese en Belgische economie.</w:t>
      </w:r>
    </w:p>
    <w:p w14:paraId="588AF263" w14:textId="77777777" w:rsidR="00907013" w:rsidRDefault="00907013" w:rsidP="00907013">
      <w:pPr>
        <w:pStyle w:val="BodyText"/>
        <w:rPr>
          <w:rFonts w:asciiTheme="minorHAnsi" w:hAnsiTheme="minorHAnsi" w:cstheme="minorBidi"/>
        </w:rPr>
      </w:pPr>
    </w:p>
    <w:p w14:paraId="6581AB7C" w14:textId="77777777" w:rsidR="00907013" w:rsidRPr="00B25B6A" w:rsidRDefault="00907013" w:rsidP="00907013">
      <w:pPr>
        <w:pStyle w:val="BodyText"/>
        <w:rPr>
          <w:rFonts w:asciiTheme="minorHAnsi" w:hAnsiTheme="minorHAnsi" w:cstheme="minorHAnsi"/>
          <w:sz w:val="6"/>
          <w:szCs w:val="4"/>
        </w:rPr>
      </w:pPr>
    </w:p>
    <w:p w14:paraId="3A9CA6FD" w14:textId="77777777" w:rsidR="00907013" w:rsidRPr="00A81DD0" w:rsidRDefault="00907013" w:rsidP="00907013">
      <w:pPr>
        <w:pStyle w:val="BodyText"/>
        <w:jc w:val="center"/>
        <w:rPr>
          <w:rFonts w:asciiTheme="minorHAnsi" w:hAnsiTheme="minorHAnsi" w:cstheme="minorHAnsi"/>
          <w:b/>
          <w:bCs/>
          <w:sz w:val="20"/>
        </w:rPr>
      </w:pPr>
      <w:r w:rsidRPr="00A81DD0">
        <w:rPr>
          <w:rFonts w:asciiTheme="minorHAnsi" w:hAnsiTheme="minorHAnsi" w:cstheme="minorHAnsi"/>
          <w:b/>
          <w:bCs/>
          <w:sz w:val="20"/>
        </w:rPr>
        <w:t>Evolutie van het consumentenvertrouwen in België en de EU</w:t>
      </w:r>
    </w:p>
    <w:p w14:paraId="26BF03D0" w14:textId="77777777" w:rsidR="00907013" w:rsidRPr="00A81DD0" w:rsidRDefault="00907013" w:rsidP="00907013">
      <w:pPr>
        <w:pStyle w:val="BodyText"/>
        <w:jc w:val="center"/>
        <w:rPr>
          <w:rFonts w:asciiTheme="minorHAnsi" w:hAnsiTheme="minorHAnsi" w:cstheme="minorBidi"/>
          <w:b/>
          <w:bCs/>
          <w:sz w:val="24"/>
          <w:szCs w:val="24"/>
        </w:rPr>
      </w:pPr>
      <w:r w:rsidRPr="00BC5F16">
        <w:rPr>
          <w:rFonts w:asciiTheme="minorHAnsi" w:hAnsiTheme="minorHAnsi" w:cstheme="minorBidi"/>
          <w:b/>
          <w:bCs/>
          <w:sz w:val="24"/>
          <w:szCs w:val="24"/>
        </w:rPr>
        <w:drawing>
          <wp:inline distT="0" distB="0" distL="0" distR="0" wp14:anchorId="69CA26BC" wp14:editId="0B3CDC15">
            <wp:extent cx="5760085" cy="3357245"/>
            <wp:effectExtent l="0" t="0" r="0" b="0"/>
            <wp:docPr id="1455258839" name="Afbeelding 145525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357245"/>
                    </a:xfrm>
                    <a:prstGeom prst="rect">
                      <a:avLst/>
                    </a:prstGeom>
                    <a:noFill/>
                    <a:ln>
                      <a:noFill/>
                    </a:ln>
                  </pic:spPr>
                </pic:pic>
              </a:graphicData>
            </a:graphic>
          </wp:inline>
        </w:drawing>
      </w:r>
    </w:p>
    <w:p w14:paraId="09021C7B" w14:textId="77777777" w:rsidR="00907013" w:rsidRPr="00A81DD0" w:rsidRDefault="00907013" w:rsidP="00907013">
      <w:pPr>
        <w:pStyle w:val="BodyText"/>
        <w:ind w:firstLine="284"/>
        <w:rPr>
          <w:rFonts w:asciiTheme="minorHAnsi" w:hAnsiTheme="minorHAnsi" w:cstheme="minorHAnsi"/>
          <w:sz w:val="16"/>
          <w:szCs w:val="16"/>
        </w:rPr>
      </w:pPr>
      <w:r w:rsidRPr="00A81DD0">
        <w:rPr>
          <w:rFonts w:asciiTheme="minorHAnsi" w:hAnsiTheme="minorHAnsi" w:cstheme="minorHAnsi"/>
          <w:sz w:val="16"/>
          <w:szCs w:val="16"/>
        </w:rPr>
        <w:t>Bron: Europese Commissie</w:t>
      </w:r>
    </w:p>
    <w:p w14:paraId="310B4CF6" w14:textId="77777777" w:rsidR="00907013" w:rsidRPr="00A81DD0" w:rsidRDefault="00907013" w:rsidP="00907013">
      <w:pPr>
        <w:pStyle w:val="BodyText"/>
        <w:rPr>
          <w:rFonts w:asciiTheme="minorHAnsi" w:hAnsiTheme="minorHAnsi" w:cstheme="minorHAnsi"/>
        </w:rPr>
      </w:pPr>
    </w:p>
    <w:p w14:paraId="19944EA3" w14:textId="77777777" w:rsidR="00907013" w:rsidRPr="009D099C" w:rsidRDefault="00907013" w:rsidP="00907013">
      <w:pPr>
        <w:pStyle w:val="BodyText"/>
        <w:rPr>
          <w:rFonts w:asciiTheme="minorHAnsi" w:hAnsiTheme="minorHAnsi" w:cstheme="minorBidi"/>
          <w:b/>
          <w:bCs/>
          <w:szCs w:val="22"/>
          <w:u w:val="single"/>
        </w:rPr>
      </w:pPr>
      <w:r w:rsidRPr="009D099C">
        <w:rPr>
          <w:rFonts w:asciiTheme="minorHAnsi" w:hAnsiTheme="minorHAnsi" w:cstheme="minorBidi"/>
          <w:b/>
          <w:bCs/>
          <w:szCs w:val="22"/>
          <w:u w:val="single"/>
        </w:rPr>
        <w:t xml:space="preserve">Stijgend bestellingsniveau in de meubelhandel </w:t>
      </w:r>
    </w:p>
    <w:p w14:paraId="699991D0" w14:textId="77777777" w:rsidR="00907013" w:rsidRPr="009D099C" w:rsidRDefault="00907013" w:rsidP="00907013">
      <w:pPr>
        <w:pStyle w:val="BodyText"/>
        <w:rPr>
          <w:rFonts w:asciiTheme="minorHAnsi" w:hAnsiTheme="minorHAnsi" w:cstheme="minorHAnsi"/>
          <w:b/>
          <w:szCs w:val="22"/>
        </w:rPr>
      </w:pPr>
    </w:p>
    <w:p w14:paraId="437BC728" w14:textId="77777777" w:rsidR="00907013" w:rsidRPr="00907013" w:rsidRDefault="00907013" w:rsidP="00907013">
      <w:pPr>
        <w:jc w:val="both"/>
        <w:rPr>
          <w:lang w:val="nl-BE"/>
        </w:rPr>
      </w:pPr>
      <w:r w:rsidRPr="00907013">
        <w:rPr>
          <w:lang w:val="nl-BE"/>
        </w:rPr>
        <w:t>Volgens de maandelijkse enquête van de Nationale Bank van België stegen de ontvangen bestellingen in de Belgische meubelhandel tijdens de eerste 8 maanden van 2023 gecumuleerd met 11,3%. Na een stijging met 13,0% in het eerste kwartaal van 2023 bleef de toename van de bestellingen in het tweede kwartaal beperkt tot 5,7%, om in juli – augustus terug te versnellen tot 15,7%.</w:t>
      </w:r>
    </w:p>
    <w:p w14:paraId="7E942743" w14:textId="77777777" w:rsidR="00907013" w:rsidRPr="00907013" w:rsidRDefault="00907013" w:rsidP="00907013">
      <w:pPr>
        <w:jc w:val="both"/>
        <w:rPr>
          <w:lang w:val="nl-BE"/>
        </w:rPr>
      </w:pPr>
      <w:bookmarkStart w:id="1" w:name="_Hlk149121682"/>
    </w:p>
    <w:p w14:paraId="3B6FF7EE" w14:textId="2CBF0870" w:rsidR="00907013" w:rsidRPr="00907013" w:rsidRDefault="00907013" w:rsidP="007079D1">
      <w:pPr>
        <w:jc w:val="both"/>
        <w:rPr>
          <w:rFonts w:cstheme="minorHAnsi"/>
          <w:lang w:val="nl-BE"/>
        </w:rPr>
      </w:pPr>
      <w:r w:rsidRPr="00907013">
        <w:rPr>
          <w:lang w:val="nl-BE"/>
        </w:rPr>
        <w:lastRenderedPageBreak/>
        <w:t>Dit contrasteert enigszins met de signalen die we oppikken in de markt en de handel. De stijgingen kunnen anderzijds wel ook worden verklaard door de terugval van de verkoop in 2022 en hogere prijzen.</w:t>
      </w:r>
    </w:p>
    <w:bookmarkEnd w:id="1"/>
    <w:p w14:paraId="4A18FB3A" w14:textId="77777777" w:rsidR="00907013" w:rsidRPr="00450FD1" w:rsidRDefault="00907013" w:rsidP="00907013">
      <w:pPr>
        <w:pStyle w:val="BodyText"/>
        <w:jc w:val="left"/>
      </w:pPr>
      <w:r>
        <w:drawing>
          <wp:inline distT="0" distB="0" distL="0" distR="0" wp14:anchorId="38D3C6AE" wp14:editId="2F79CBC4">
            <wp:extent cx="5760085" cy="3764280"/>
            <wp:effectExtent l="0" t="0" r="12065" b="7620"/>
            <wp:docPr id="467271854" name="Grafiek 1">
              <a:extLst xmlns:a="http://schemas.openxmlformats.org/drawingml/2006/main">
                <a:ext uri="{FF2B5EF4-FFF2-40B4-BE49-F238E27FC236}">
                  <a16:creationId xmlns:a16="http://schemas.microsoft.com/office/drawing/2014/main" id="{EF33CA41-D79E-7412-08E5-B5235E128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6AAF7F" w14:textId="77777777" w:rsidR="00907013" w:rsidRDefault="00907013" w:rsidP="00907013">
      <w:pPr>
        <w:pStyle w:val="BodyText"/>
        <w:rPr>
          <w:rFonts w:asciiTheme="minorHAnsi" w:hAnsiTheme="minorHAnsi" w:cstheme="minorHAnsi"/>
        </w:rPr>
      </w:pPr>
      <w:r w:rsidRPr="00AC7C2C">
        <w:rPr>
          <w:rFonts w:asciiTheme="minorHAnsi" w:hAnsiTheme="minorHAnsi" w:cstheme="minorHAnsi"/>
          <w:sz w:val="16"/>
          <w:szCs w:val="22"/>
        </w:rPr>
        <w:t>Bron: Nationale Bank van België</w:t>
      </w:r>
    </w:p>
    <w:p w14:paraId="06DB634C" w14:textId="77777777" w:rsidR="00907013" w:rsidRPr="00907013" w:rsidRDefault="00907013" w:rsidP="00907013">
      <w:pPr>
        <w:rPr>
          <w:rFonts w:cstheme="minorHAnsi"/>
          <w:lang w:val="nl-BE"/>
        </w:rPr>
      </w:pPr>
    </w:p>
    <w:p w14:paraId="297D0B04" w14:textId="77777777" w:rsidR="00907013" w:rsidRPr="00E00DC1" w:rsidRDefault="00907013" w:rsidP="00907013">
      <w:pPr>
        <w:pStyle w:val="BodyText"/>
        <w:rPr>
          <w:rFonts w:asciiTheme="minorHAnsi" w:hAnsiTheme="minorHAnsi" w:cstheme="minorHAnsi"/>
          <w:b/>
          <w:u w:val="single"/>
        </w:rPr>
      </w:pPr>
      <w:r w:rsidRPr="00E00DC1">
        <w:rPr>
          <w:rFonts w:asciiTheme="minorHAnsi" w:hAnsiTheme="minorHAnsi" w:cstheme="minorHAnsi"/>
          <w:b/>
          <w:u w:val="single"/>
        </w:rPr>
        <w:t xml:space="preserve">Buitenlandse handel: </w:t>
      </w:r>
      <w:r>
        <w:rPr>
          <w:rFonts w:asciiTheme="minorHAnsi" w:hAnsiTheme="minorHAnsi" w:cstheme="minorHAnsi"/>
          <w:b/>
          <w:u w:val="single"/>
        </w:rPr>
        <w:t>zowel in- als uitvoer van meubelen dalen</w:t>
      </w:r>
    </w:p>
    <w:p w14:paraId="3D1C58F8" w14:textId="77777777" w:rsidR="00907013" w:rsidRPr="00E00DC1" w:rsidRDefault="00907013" w:rsidP="00907013">
      <w:pPr>
        <w:pStyle w:val="BodyText"/>
        <w:rPr>
          <w:rFonts w:asciiTheme="minorHAnsi" w:hAnsiTheme="minorHAnsi" w:cstheme="minorHAnsi"/>
          <w:b/>
        </w:rPr>
      </w:pPr>
    </w:p>
    <w:p w14:paraId="038DE4A2" w14:textId="77777777" w:rsidR="00907013" w:rsidRPr="00E00DC1" w:rsidRDefault="00907013" w:rsidP="00907013">
      <w:pPr>
        <w:pStyle w:val="BodyText"/>
        <w:rPr>
          <w:rFonts w:asciiTheme="minorHAnsi" w:hAnsiTheme="minorHAnsi" w:cstheme="minorBidi"/>
        </w:rPr>
      </w:pPr>
      <w:r w:rsidRPr="4A2E2FB5">
        <w:rPr>
          <w:rFonts w:asciiTheme="minorHAnsi" w:hAnsiTheme="minorHAnsi" w:cstheme="minorBidi"/>
        </w:rPr>
        <w:t xml:space="preserve">In de eerste helft van 2023 daalde </w:t>
      </w:r>
      <w:r w:rsidRPr="4A2E2FB5">
        <w:rPr>
          <w:rFonts w:asciiTheme="minorHAnsi" w:hAnsiTheme="minorHAnsi" w:cstheme="minorBidi"/>
          <w:b/>
          <w:bCs/>
        </w:rPr>
        <w:t>de uitvoer van Belgische meubelen</w:t>
      </w:r>
      <w:r w:rsidRPr="4A2E2FB5">
        <w:rPr>
          <w:rFonts w:asciiTheme="minorHAnsi" w:hAnsiTheme="minorHAnsi" w:cstheme="minorBidi"/>
        </w:rPr>
        <w:t xml:space="preserve"> (inclusief doorvoer) in waarde met 12,2% in vergelijking met de eerste helft van 2022. Rekening houdend met de samenhangende kostprijsstijging betekent dit echter wel een nog sterkere daling in volume. Er werd voor net geen 802 miljoen euro aan meubelen geëxporteerd. Frankrijk blijft weliswaar de grootste buitenlandse markt, maar liet een daling met 23,5% optekenen. Het land is nu goed voor een derde van de meubeluitvoer. Ook Nederland (-7,8%) en Duitsland (-9,3%) verloren aan relatief belang. De totale uitvoer naar landen binnen de EU daalde met 13,5%. Naar bepaalde landen of regio’s kon een stijging worden vastgesteld, maar al bij al bleef het bij beperkte omzetten.</w:t>
      </w:r>
    </w:p>
    <w:p w14:paraId="7588D9B7" w14:textId="77777777" w:rsidR="00907013" w:rsidRPr="00E00DC1" w:rsidRDefault="00907013" w:rsidP="00907013">
      <w:pPr>
        <w:pStyle w:val="BodyText"/>
        <w:rPr>
          <w:rFonts w:asciiTheme="minorHAnsi" w:hAnsiTheme="minorHAnsi" w:cstheme="minorHAnsi"/>
        </w:rPr>
      </w:pPr>
    </w:p>
    <w:p w14:paraId="1E152A88" w14:textId="77777777" w:rsidR="00907013" w:rsidRPr="00E00DC1" w:rsidRDefault="00907013" w:rsidP="00907013">
      <w:pPr>
        <w:pStyle w:val="BodyText"/>
        <w:rPr>
          <w:rFonts w:asciiTheme="minorHAnsi" w:hAnsiTheme="minorHAnsi" w:cstheme="minorBidi"/>
        </w:rPr>
      </w:pPr>
      <w:r w:rsidRPr="4A2E2FB5">
        <w:rPr>
          <w:rFonts w:asciiTheme="minorHAnsi" w:hAnsiTheme="minorHAnsi" w:cstheme="minorBidi"/>
        </w:rPr>
        <w:t xml:space="preserve">De </w:t>
      </w:r>
      <w:r w:rsidRPr="4A2E2FB5">
        <w:rPr>
          <w:rFonts w:asciiTheme="minorHAnsi" w:hAnsiTheme="minorHAnsi" w:cstheme="minorBidi"/>
          <w:b/>
          <w:bCs/>
        </w:rPr>
        <w:t>invoer van meubelen</w:t>
      </w:r>
      <w:r w:rsidRPr="4A2E2FB5">
        <w:rPr>
          <w:rFonts w:asciiTheme="minorHAnsi" w:hAnsiTheme="minorHAnsi" w:cstheme="minorBidi"/>
        </w:rPr>
        <w:t xml:space="preserve"> daalde fors met 17,4% en dit vooral door een daling van de invoer uit het Verre Oosten, met China (-30,6%), Indonesië (-49,8%) en Vietnam (-54,8%) als opvallendste dalers. China blijft met een aandeel van 24,8% wel nog het belangrijkste oorsprongsland. Ook uit Oost-Europa kwamen minder meubelen, vooral dan door een -niet onverwachte- terugval uit Wit-Rusland (-76,1%), al vallen meubelen niet onder de door de EU uitgevaardigde sancties. Uit de andere EU-landen werd 3,7% minder meubelen geïmporteerd. Na China blijven Nederland en Duitsland de belangrijkste meubelleveranciers op de Belgische markt.</w:t>
      </w:r>
    </w:p>
    <w:p w14:paraId="2D0D705C" w14:textId="77777777" w:rsidR="00907013" w:rsidRPr="00907013" w:rsidRDefault="00907013" w:rsidP="00907013">
      <w:pPr>
        <w:rPr>
          <w:rFonts w:cstheme="minorHAnsi"/>
          <w:lang w:val="nl-BE"/>
        </w:rPr>
      </w:pPr>
      <w:r w:rsidRPr="00907013">
        <w:rPr>
          <w:rFonts w:cstheme="minorHAnsi"/>
          <w:lang w:val="nl-BE"/>
        </w:rPr>
        <w:br w:type="page"/>
      </w:r>
    </w:p>
    <w:p w14:paraId="779C41CD" w14:textId="77777777" w:rsidR="00907013" w:rsidRDefault="00907013" w:rsidP="00907013">
      <w:pPr>
        <w:pStyle w:val="BodyText"/>
        <w:rPr>
          <w:rFonts w:asciiTheme="minorHAnsi" w:hAnsiTheme="minorHAnsi" w:cstheme="minorHAnsi"/>
          <w:szCs w:val="22"/>
        </w:rPr>
      </w:pPr>
    </w:p>
    <w:tbl>
      <w:tblPr>
        <w:tblW w:w="8819" w:type="dxa"/>
        <w:tblCellMar>
          <w:left w:w="70" w:type="dxa"/>
          <w:right w:w="70" w:type="dxa"/>
        </w:tblCellMar>
        <w:tblLook w:val="04A0" w:firstRow="1" w:lastRow="0" w:firstColumn="1" w:lastColumn="0" w:noHBand="0" w:noVBand="1"/>
      </w:tblPr>
      <w:tblGrid>
        <w:gridCol w:w="1229"/>
        <w:gridCol w:w="674"/>
        <w:gridCol w:w="997"/>
        <w:gridCol w:w="997"/>
        <w:gridCol w:w="827"/>
        <w:gridCol w:w="786"/>
        <w:gridCol w:w="873"/>
        <w:gridCol w:w="873"/>
        <w:gridCol w:w="639"/>
        <w:gridCol w:w="1046"/>
      </w:tblGrid>
      <w:tr w:rsidR="00907013" w:rsidRPr="0070085D" w14:paraId="38F10308" w14:textId="77777777" w:rsidTr="00C07BA6">
        <w:tc>
          <w:tcPr>
            <w:tcW w:w="8819" w:type="dxa"/>
            <w:gridSpan w:val="10"/>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0954125" w14:textId="77777777" w:rsidR="00907013" w:rsidRPr="00907013" w:rsidRDefault="00907013" w:rsidP="00C07BA6">
            <w:pPr>
              <w:jc w:val="center"/>
              <w:rPr>
                <w:rFonts w:cstheme="minorHAnsi"/>
                <w:b/>
                <w:bCs/>
                <w:sz w:val="16"/>
                <w:szCs w:val="16"/>
                <w:lang w:val="nl-BE" w:eastAsia="nl-BE"/>
              </w:rPr>
            </w:pPr>
            <w:r w:rsidRPr="00907013">
              <w:rPr>
                <w:rFonts w:cstheme="minorHAnsi"/>
                <w:b/>
                <w:bCs/>
                <w:sz w:val="16"/>
                <w:szCs w:val="16"/>
                <w:lang w:val="nl-BE" w:eastAsia="nl-BE"/>
              </w:rPr>
              <w:t>Buitenlandse handel meubelindustrie (incl. meubelen van metaal en kunststof)</w:t>
            </w:r>
          </w:p>
        </w:tc>
      </w:tr>
      <w:tr w:rsidR="00907013" w:rsidRPr="00BE68D6" w14:paraId="3B168EBA" w14:textId="77777777" w:rsidTr="00C07BA6">
        <w:tc>
          <w:tcPr>
            <w:tcW w:w="1229" w:type="dxa"/>
            <w:tcBorders>
              <w:top w:val="nil"/>
              <w:left w:val="single" w:sz="4" w:space="0" w:color="auto"/>
              <w:bottom w:val="nil"/>
              <w:right w:val="nil"/>
            </w:tcBorders>
            <w:shd w:val="clear" w:color="auto" w:fill="FFFFFF" w:themeFill="background1"/>
            <w:noWrap/>
            <w:vAlign w:val="bottom"/>
            <w:hideMark/>
          </w:tcPr>
          <w:p w14:paraId="110E148A" w14:textId="77777777" w:rsidR="00907013" w:rsidRPr="00907013" w:rsidRDefault="00907013" w:rsidP="00C07BA6">
            <w:pPr>
              <w:rPr>
                <w:rFonts w:cstheme="minorHAnsi"/>
                <w:color w:val="000000"/>
                <w:sz w:val="16"/>
                <w:szCs w:val="16"/>
                <w:lang w:val="nl-BE" w:eastAsia="nl-BE"/>
              </w:rPr>
            </w:pPr>
            <w:r w:rsidRPr="00907013">
              <w:rPr>
                <w:rFonts w:cstheme="minorHAnsi"/>
                <w:color w:val="000000"/>
                <w:sz w:val="16"/>
                <w:szCs w:val="16"/>
                <w:lang w:val="nl-BE" w:eastAsia="nl-BE"/>
              </w:rPr>
              <w:t> </w:t>
            </w:r>
          </w:p>
        </w:tc>
        <w:tc>
          <w:tcPr>
            <w:tcW w:w="3401"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6436A24F" w14:textId="77777777" w:rsidR="00907013" w:rsidRPr="00BE68D6" w:rsidRDefault="00907013" w:rsidP="00C07BA6">
            <w:pPr>
              <w:jc w:val="center"/>
              <w:rPr>
                <w:rFonts w:cstheme="minorHAnsi"/>
                <w:b/>
                <w:bCs/>
                <w:color w:val="000000"/>
                <w:sz w:val="16"/>
                <w:szCs w:val="16"/>
                <w:lang w:eastAsia="nl-BE"/>
              </w:rPr>
            </w:pPr>
            <w:r w:rsidRPr="00BE68D6">
              <w:rPr>
                <w:rFonts w:cstheme="minorHAnsi"/>
                <w:b/>
                <w:bCs/>
                <w:color w:val="000000"/>
                <w:sz w:val="16"/>
                <w:szCs w:val="16"/>
                <w:lang w:eastAsia="nl-BE"/>
              </w:rPr>
              <w:t>Belgische invoer</w:t>
            </w:r>
          </w:p>
        </w:tc>
        <w:tc>
          <w:tcPr>
            <w:tcW w:w="3143" w:type="dxa"/>
            <w:gridSpan w:val="4"/>
            <w:tcBorders>
              <w:top w:val="nil"/>
              <w:left w:val="nil"/>
              <w:bottom w:val="nil"/>
              <w:right w:val="nil"/>
            </w:tcBorders>
            <w:shd w:val="clear" w:color="auto" w:fill="FFFFFF" w:themeFill="background1"/>
            <w:noWrap/>
            <w:vAlign w:val="bottom"/>
            <w:hideMark/>
          </w:tcPr>
          <w:p w14:paraId="1EFDA909" w14:textId="77777777" w:rsidR="00907013" w:rsidRPr="00BE68D6" w:rsidRDefault="00907013" w:rsidP="00C07BA6">
            <w:pPr>
              <w:jc w:val="center"/>
              <w:rPr>
                <w:rFonts w:cstheme="minorHAnsi"/>
                <w:b/>
                <w:bCs/>
                <w:color w:val="000000"/>
                <w:sz w:val="16"/>
                <w:szCs w:val="16"/>
                <w:lang w:eastAsia="nl-BE"/>
              </w:rPr>
            </w:pPr>
            <w:r w:rsidRPr="00BE68D6">
              <w:rPr>
                <w:rFonts w:cstheme="minorHAnsi"/>
                <w:b/>
                <w:bCs/>
                <w:color w:val="000000"/>
                <w:sz w:val="16"/>
                <w:szCs w:val="16"/>
                <w:lang w:eastAsia="nl-BE"/>
              </w:rPr>
              <w:t>Belgische uitvoer</w:t>
            </w:r>
          </w:p>
        </w:tc>
        <w:tc>
          <w:tcPr>
            <w:tcW w:w="1046" w:type="dxa"/>
            <w:tcBorders>
              <w:top w:val="nil"/>
              <w:left w:val="single" w:sz="4" w:space="0" w:color="auto"/>
              <w:bottom w:val="nil"/>
              <w:right w:val="single" w:sz="4" w:space="0" w:color="auto"/>
            </w:tcBorders>
            <w:shd w:val="clear" w:color="auto" w:fill="FFFFFF" w:themeFill="background1"/>
            <w:noWrap/>
            <w:vAlign w:val="bottom"/>
            <w:hideMark/>
          </w:tcPr>
          <w:p w14:paraId="044A8D2C"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Dekkings-</w:t>
            </w:r>
          </w:p>
        </w:tc>
      </w:tr>
      <w:tr w:rsidR="00907013" w:rsidRPr="00BE68D6" w14:paraId="1DC5F21B" w14:textId="77777777" w:rsidTr="00C07BA6">
        <w:tc>
          <w:tcPr>
            <w:tcW w:w="1229" w:type="dxa"/>
            <w:tcBorders>
              <w:top w:val="nil"/>
              <w:left w:val="single" w:sz="4" w:space="0" w:color="auto"/>
              <w:bottom w:val="nil"/>
              <w:right w:val="nil"/>
            </w:tcBorders>
            <w:shd w:val="clear" w:color="auto" w:fill="FFFFFF" w:themeFill="background1"/>
            <w:noWrap/>
            <w:vAlign w:val="bottom"/>
            <w:hideMark/>
          </w:tcPr>
          <w:p w14:paraId="6B6E42D2"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 </w:t>
            </w:r>
          </w:p>
        </w:tc>
        <w:tc>
          <w:tcPr>
            <w:tcW w:w="609" w:type="dxa"/>
            <w:tcBorders>
              <w:top w:val="nil"/>
              <w:left w:val="single" w:sz="4" w:space="0" w:color="auto"/>
              <w:bottom w:val="nil"/>
              <w:right w:val="nil"/>
            </w:tcBorders>
            <w:shd w:val="clear" w:color="auto" w:fill="FFFFFF" w:themeFill="background1"/>
            <w:noWrap/>
            <w:vAlign w:val="bottom"/>
            <w:hideMark/>
          </w:tcPr>
          <w:p w14:paraId="0006568C"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Aandeel</w:t>
            </w:r>
          </w:p>
        </w:tc>
        <w:tc>
          <w:tcPr>
            <w:tcW w:w="980" w:type="dxa"/>
            <w:tcBorders>
              <w:top w:val="nil"/>
              <w:left w:val="nil"/>
              <w:bottom w:val="nil"/>
              <w:right w:val="nil"/>
            </w:tcBorders>
            <w:shd w:val="clear" w:color="auto" w:fill="FFFFFF" w:themeFill="background1"/>
            <w:noWrap/>
            <w:vAlign w:val="bottom"/>
            <w:hideMark/>
          </w:tcPr>
          <w:p w14:paraId="0E32EDD6"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 </w:t>
            </w:r>
          </w:p>
        </w:tc>
        <w:tc>
          <w:tcPr>
            <w:tcW w:w="980" w:type="dxa"/>
            <w:tcBorders>
              <w:top w:val="nil"/>
              <w:left w:val="nil"/>
              <w:bottom w:val="nil"/>
              <w:right w:val="nil"/>
            </w:tcBorders>
            <w:shd w:val="clear" w:color="auto" w:fill="FFFFFF" w:themeFill="background1"/>
            <w:noWrap/>
            <w:vAlign w:val="bottom"/>
            <w:hideMark/>
          </w:tcPr>
          <w:p w14:paraId="52DAEE54"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 </w:t>
            </w:r>
          </w:p>
        </w:tc>
        <w:tc>
          <w:tcPr>
            <w:tcW w:w="827" w:type="dxa"/>
            <w:tcBorders>
              <w:top w:val="nil"/>
              <w:left w:val="nil"/>
              <w:bottom w:val="nil"/>
              <w:right w:val="single" w:sz="4" w:space="0" w:color="auto"/>
            </w:tcBorders>
            <w:shd w:val="clear" w:color="auto" w:fill="FFFFFF" w:themeFill="background1"/>
            <w:noWrap/>
            <w:vAlign w:val="bottom"/>
            <w:hideMark/>
          </w:tcPr>
          <w:p w14:paraId="33F5EDDE"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 </w:t>
            </w:r>
          </w:p>
        </w:tc>
        <w:tc>
          <w:tcPr>
            <w:tcW w:w="786" w:type="dxa"/>
            <w:tcBorders>
              <w:top w:val="nil"/>
              <w:left w:val="nil"/>
              <w:bottom w:val="nil"/>
              <w:right w:val="nil"/>
            </w:tcBorders>
            <w:shd w:val="clear" w:color="auto" w:fill="FFFFFF" w:themeFill="background1"/>
            <w:noWrap/>
            <w:vAlign w:val="bottom"/>
            <w:hideMark/>
          </w:tcPr>
          <w:p w14:paraId="7CB32DBE"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Aandeel</w:t>
            </w:r>
          </w:p>
        </w:tc>
        <w:tc>
          <w:tcPr>
            <w:tcW w:w="859" w:type="dxa"/>
            <w:tcBorders>
              <w:top w:val="nil"/>
              <w:left w:val="nil"/>
              <w:bottom w:val="nil"/>
              <w:right w:val="nil"/>
            </w:tcBorders>
            <w:shd w:val="clear" w:color="auto" w:fill="FFFFFF" w:themeFill="background1"/>
            <w:noWrap/>
            <w:vAlign w:val="bottom"/>
            <w:hideMark/>
          </w:tcPr>
          <w:p w14:paraId="00EED8E6"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 </w:t>
            </w:r>
          </w:p>
        </w:tc>
        <w:tc>
          <w:tcPr>
            <w:tcW w:w="859" w:type="dxa"/>
            <w:tcBorders>
              <w:top w:val="nil"/>
              <w:left w:val="nil"/>
              <w:bottom w:val="nil"/>
              <w:right w:val="nil"/>
            </w:tcBorders>
            <w:shd w:val="clear" w:color="auto" w:fill="FFFFFF" w:themeFill="background1"/>
            <w:noWrap/>
            <w:vAlign w:val="bottom"/>
            <w:hideMark/>
          </w:tcPr>
          <w:p w14:paraId="6603A13B"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 </w:t>
            </w:r>
          </w:p>
        </w:tc>
        <w:tc>
          <w:tcPr>
            <w:tcW w:w="639" w:type="dxa"/>
            <w:tcBorders>
              <w:top w:val="nil"/>
              <w:left w:val="nil"/>
              <w:bottom w:val="nil"/>
              <w:right w:val="nil"/>
            </w:tcBorders>
            <w:shd w:val="clear" w:color="auto" w:fill="FFFFFF" w:themeFill="background1"/>
            <w:noWrap/>
            <w:vAlign w:val="bottom"/>
            <w:hideMark/>
          </w:tcPr>
          <w:p w14:paraId="344D3EAF"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 </w:t>
            </w:r>
          </w:p>
        </w:tc>
        <w:tc>
          <w:tcPr>
            <w:tcW w:w="1046" w:type="dxa"/>
            <w:tcBorders>
              <w:top w:val="nil"/>
              <w:left w:val="single" w:sz="4" w:space="0" w:color="auto"/>
              <w:bottom w:val="nil"/>
              <w:right w:val="single" w:sz="4" w:space="0" w:color="auto"/>
            </w:tcBorders>
            <w:shd w:val="clear" w:color="auto" w:fill="FFFFFF" w:themeFill="background1"/>
            <w:noWrap/>
            <w:vAlign w:val="bottom"/>
            <w:hideMark/>
          </w:tcPr>
          <w:p w14:paraId="126A943F"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percentage</w:t>
            </w:r>
          </w:p>
        </w:tc>
      </w:tr>
      <w:tr w:rsidR="00907013" w:rsidRPr="00BE68D6" w14:paraId="0EBA614C" w14:textId="77777777" w:rsidTr="00C07BA6">
        <w:tc>
          <w:tcPr>
            <w:tcW w:w="1229" w:type="dxa"/>
            <w:tcBorders>
              <w:top w:val="nil"/>
              <w:left w:val="single" w:sz="4" w:space="0" w:color="auto"/>
              <w:bottom w:val="nil"/>
              <w:right w:val="nil"/>
            </w:tcBorders>
            <w:shd w:val="clear" w:color="auto" w:fill="FFFFFF" w:themeFill="background1"/>
            <w:noWrap/>
            <w:vAlign w:val="bottom"/>
            <w:hideMark/>
          </w:tcPr>
          <w:p w14:paraId="4DE5B8A5"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 </w:t>
            </w:r>
          </w:p>
        </w:tc>
        <w:tc>
          <w:tcPr>
            <w:tcW w:w="609" w:type="dxa"/>
            <w:tcBorders>
              <w:top w:val="nil"/>
              <w:left w:val="single" w:sz="4" w:space="0" w:color="auto"/>
              <w:bottom w:val="nil"/>
              <w:right w:val="nil"/>
            </w:tcBorders>
            <w:shd w:val="clear" w:color="auto" w:fill="FFFFFF" w:themeFill="background1"/>
            <w:noWrap/>
            <w:vAlign w:val="bottom"/>
            <w:hideMark/>
          </w:tcPr>
          <w:p w14:paraId="00E96CAF"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6m2023</w:t>
            </w:r>
          </w:p>
        </w:tc>
        <w:tc>
          <w:tcPr>
            <w:tcW w:w="980" w:type="dxa"/>
            <w:tcBorders>
              <w:top w:val="nil"/>
              <w:left w:val="nil"/>
              <w:bottom w:val="nil"/>
              <w:right w:val="nil"/>
            </w:tcBorders>
            <w:shd w:val="clear" w:color="auto" w:fill="FFFFFF" w:themeFill="background1"/>
            <w:noWrap/>
            <w:vAlign w:val="bottom"/>
            <w:hideMark/>
          </w:tcPr>
          <w:p w14:paraId="15FB27C7"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6m2022</w:t>
            </w:r>
          </w:p>
        </w:tc>
        <w:tc>
          <w:tcPr>
            <w:tcW w:w="980" w:type="dxa"/>
            <w:tcBorders>
              <w:top w:val="nil"/>
              <w:left w:val="nil"/>
              <w:bottom w:val="nil"/>
              <w:right w:val="nil"/>
            </w:tcBorders>
            <w:shd w:val="clear" w:color="auto" w:fill="FFFFFF" w:themeFill="background1"/>
            <w:noWrap/>
            <w:vAlign w:val="bottom"/>
            <w:hideMark/>
          </w:tcPr>
          <w:p w14:paraId="5F31CB98"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6m2023</w:t>
            </w:r>
          </w:p>
        </w:tc>
        <w:tc>
          <w:tcPr>
            <w:tcW w:w="827" w:type="dxa"/>
            <w:tcBorders>
              <w:top w:val="nil"/>
              <w:left w:val="nil"/>
              <w:bottom w:val="nil"/>
              <w:right w:val="single" w:sz="4" w:space="0" w:color="auto"/>
            </w:tcBorders>
            <w:shd w:val="clear" w:color="auto" w:fill="FFFFFF" w:themeFill="background1"/>
            <w:noWrap/>
            <w:vAlign w:val="bottom"/>
            <w:hideMark/>
          </w:tcPr>
          <w:p w14:paraId="145C6472"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w:t>
            </w:r>
          </w:p>
        </w:tc>
        <w:tc>
          <w:tcPr>
            <w:tcW w:w="786" w:type="dxa"/>
            <w:tcBorders>
              <w:top w:val="nil"/>
              <w:left w:val="nil"/>
              <w:bottom w:val="nil"/>
              <w:right w:val="nil"/>
            </w:tcBorders>
            <w:shd w:val="clear" w:color="auto" w:fill="FFFFFF" w:themeFill="background1"/>
            <w:noWrap/>
            <w:vAlign w:val="bottom"/>
            <w:hideMark/>
          </w:tcPr>
          <w:p w14:paraId="37861985"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6m2023</w:t>
            </w:r>
          </w:p>
        </w:tc>
        <w:tc>
          <w:tcPr>
            <w:tcW w:w="859" w:type="dxa"/>
            <w:tcBorders>
              <w:top w:val="nil"/>
              <w:left w:val="nil"/>
              <w:bottom w:val="nil"/>
              <w:right w:val="nil"/>
            </w:tcBorders>
            <w:shd w:val="clear" w:color="auto" w:fill="FFFFFF" w:themeFill="background1"/>
            <w:noWrap/>
            <w:vAlign w:val="bottom"/>
            <w:hideMark/>
          </w:tcPr>
          <w:p w14:paraId="2E8DCE52"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6m2022</w:t>
            </w:r>
          </w:p>
        </w:tc>
        <w:tc>
          <w:tcPr>
            <w:tcW w:w="859" w:type="dxa"/>
            <w:tcBorders>
              <w:top w:val="nil"/>
              <w:left w:val="nil"/>
              <w:bottom w:val="nil"/>
              <w:right w:val="nil"/>
            </w:tcBorders>
            <w:shd w:val="clear" w:color="auto" w:fill="FFFFFF" w:themeFill="background1"/>
            <w:noWrap/>
            <w:vAlign w:val="bottom"/>
            <w:hideMark/>
          </w:tcPr>
          <w:p w14:paraId="1130F2D0"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6m2023</w:t>
            </w:r>
          </w:p>
        </w:tc>
        <w:tc>
          <w:tcPr>
            <w:tcW w:w="639" w:type="dxa"/>
            <w:tcBorders>
              <w:top w:val="nil"/>
              <w:left w:val="nil"/>
              <w:bottom w:val="nil"/>
              <w:right w:val="single" w:sz="4" w:space="0" w:color="auto"/>
            </w:tcBorders>
            <w:shd w:val="clear" w:color="auto" w:fill="FFFFFF" w:themeFill="background1"/>
            <w:noWrap/>
            <w:vAlign w:val="bottom"/>
            <w:hideMark/>
          </w:tcPr>
          <w:p w14:paraId="1DDFD2EE"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w:t>
            </w:r>
          </w:p>
        </w:tc>
        <w:tc>
          <w:tcPr>
            <w:tcW w:w="1046" w:type="dxa"/>
            <w:tcBorders>
              <w:top w:val="nil"/>
              <w:left w:val="nil"/>
              <w:bottom w:val="nil"/>
              <w:right w:val="single" w:sz="4" w:space="0" w:color="auto"/>
            </w:tcBorders>
            <w:shd w:val="clear" w:color="auto" w:fill="FFFFFF" w:themeFill="background1"/>
            <w:noWrap/>
            <w:vAlign w:val="bottom"/>
            <w:hideMark/>
          </w:tcPr>
          <w:p w14:paraId="2EABC53C"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6m2023</w:t>
            </w:r>
          </w:p>
        </w:tc>
      </w:tr>
      <w:tr w:rsidR="00907013" w:rsidRPr="00BE68D6" w14:paraId="762A3AD0" w14:textId="77777777" w:rsidTr="00C07BA6">
        <w:tc>
          <w:tcPr>
            <w:tcW w:w="1229"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1F335390" w14:textId="77777777" w:rsidR="00907013" w:rsidRPr="00BE68D6" w:rsidRDefault="00907013" w:rsidP="00C07BA6">
            <w:pPr>
              <w:rPr>
                <w:rFonts w:cstheme="minorHAnsi"/>
                <w:b/>
                <w:bCs/>
                <w:color w:val="000000"/>
                <w:sz w:val="16"/>
                <w:szCs w:val="16"/>
                <w:lang w:eastAsia="nl-BE"/>
              </w:rPr>
            </w:pPr>
            <w:r w:rsidRPr="00BE68D6">
              <w:rPr>
                <w:rFonts w:cstheme="minorHAnsi"/>
                <w:b/>
                <w:bCs/>
                <w:color w:val="000000"/>
                <w:sz w:val="16"/>
                <w:szCs w:val="16"/>
                <w:lang w:eastAsia="nl-BE"/>
              </w:rPr>
              <w:t>Landen</w:t>
            </w:r>
          </w:p>
        </w:tc>
        <w:tc>
          <w:tcPr>
            <w:tcW w:w="60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0F198293"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in %</w:t>
            </w:r>
          </w:p>
        </w:tc>
        <w:tc>
          <w:tcPr>
            <w:tcW w:w="98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0B2EAE9"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1000 EUR</w:t>
            </w:r>
          </w:p>
        </w:tc>
        <w:tc>
          <w:tcPr>
            <w:tcW w:w="98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4AEADE9C"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1000 EUR</w:t>
            </w:r>
          </w:p>
        </w:tc>
        <w:tc>
          <w:tcPr>
            <w:tcW w:w="827" w:type="dxa"/>
            <w:tcBorders>
              <w:top w:val="nil"/>
              <w:left w:val="nil"/>
              <w:bottom w:val="single" w:sz="4" w:space="0" w:color="auto"/>
              <w:right w:val="single" w:sz="4" w:space="0" w:color="auto"/>
            </w:tcBorders>
            <w:shd w:val="clear" w:color="auto" w:fill="FFFFFF" w:themeFill="background1"/>
            <w:noWrap/>
            <w:vAlign w:val="bottom"/>
            <w:hideMark/>
          </w:tcPr>
          <w:p w14:paraId="2F6AEB14"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22/21</w:t>
            </w:r>
          </w:p>
        </w:tc>
        <w:tc>
          <w:tcPr>
            <w:tcW w:w="786"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33C92107"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in %</w:t>
            </w:r>
          </w:p>
        </w:tc>
        <w:tc>
          <w:tcPr>
            <w:tcW w:w="85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4604DD50"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1000 EUR</w:t>
            </w:r>
          </w:p>
        </w:tc>
        <w:tc>
          <w:tcPr>
            <w:tcW w:w="85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43AB22C0"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1000 EUR</w:t>
            </w:r>
          </w:p>
        </w:tc>
        <w:tc>
          <w:tcPr>
            <w:tcW w:w="639" w:type="dxa"/>
            <w:tcBorders>
              <w:top w:val="nil"/>
              <w:left w:val="nil"/>
              <w:bottom w:val="single" w:sz="4" w:space="0" w:color="auto"/>
              <w:right w:val="single" w:sz="4" w:space="0" w:color="auto"/>
            </w:tcBorders>
            <w:shd w:val="clear" w:color="auto" w:fill="FFFFFF" w:themeFill="background1"/>
            <w:noWrap/>
            <w:vAlign w:val="bottom"/>
            <w:hideMark/>
          </w:tcPr>
          <w:p w14:paraId="1760EDAE"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22/21</w:t>
            </w:r>
          </w:p>
        </w:tc>
        <w:tc>
          <w:tcPr>
            <w:tcW w:w="1046"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7C8ADC16" w14:textId="77777777" w:rsidR="00907013" w:rsidRPr="00BE68D6" w:rsidRDefault="00907013" w:rsidP="00C07BA6">
            <w:pPr>
              <w:jc w:val="center"/>
              <w:rPr>
                <w:rFonts w:cstheme="minorHAnsi"/>
                <w:color w:val="000000"/>
                <w:sz w:val="16"/>
                <w:szCs w:val="16"/>
                <w:lang w:eastAsia="nl-BE"/>
              </w:rPr>
            </w:pPr>
            <w:r w:rsidRPr="00BE68D6">
              <w:rPr>
                <w:rFonts w:cstheme="minorHAnsi"/>
                <w:color w:val="000000"/>
                <w:sz w:val="16"/>
                <w:szCs w:val="16"/>
                <w:lang w:eastAsia="nl-BE"/>
              </w:rPr>
              <w:t>(Exp/imp)</w:t>
            </w:r>
          </w:p>
        </w:tc>
      </w:tr>
      <w:tr w:rsidR="00907013" w:rsidRPr="00BE68D6" w14:paraId="3C278593" w14:textId="77777777" w:rsidTr="00C07BA6">
        <w:tc>
          <w:tcPr>
            <w:tcW w:w="1229"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4D1F4375"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Frankrijk</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36BD01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6,1</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1A1C0F5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82.346,5</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4184C9B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74.058,1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E3BD7F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D8C7B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34,3</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2F729F0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359.564,3</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5B4BD0F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274.911,1</w:t>
            </w:r>
          </w:p>
        </w:tc>
        <w:tc>
          <w:tcPr>
            <w:tcW w:w="639" w:type="dxa"/>
            <w:tcBorders>
              <w:top w:val="nil"/>
              <w:left w:val="nil"/>
              <w:bottom w:val="single" w:sz="4" w:space="0" w:color="FFFFFF" w:themeColor="background1"/>
              <w:right w:val="nil"/>
            </w:tcBorders>
            <w:shd w:val="clear" w:color="auto" w:fill="auto"/>
            <w:noWrap/>
            <w:vAlign w:val="bottom"/>
            <w:hideMark/>
          </w:tcPr>
          <w:p w14:paraId="069BA1F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-23,5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BA24B1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371,2</w:t>
            </w:r>
          </w:p>
        </w:tc>
      </w:tr>
      <w:tr w:rsidR="00907013" w:rsidRPr="00BE68D6" w14:paraId="7A50312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33C3889"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Nederland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851BB5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28C846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201.719,8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3BEF7D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200.668,2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036F05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AE0B8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FDD59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216.704,5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DF7287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199.773,2</w:t>
            </w:r>
          </w:p>
        </w:tc>
        <w:tc>
          <w:tcPr>
            <w:tcW w:w="639" w:type="dxa"/>
            <w:tcBorders>
              <w:top w:val="nil"/>
              <w:left w:val="nil"/>
              <w:bottom w:val="single" w:sz="4" w:space="0" w:color="FFFFFF" w:themeColor="background1"/>
              <w:right w:val="nil"/>
            </w:tcBorders>
            <w:shd w:val="clear" w:color="auto" w:fill="auto"/>
            <w:noWrap/>
            <w:vAlign w:val="bottom"/>
            <w:hideMark/>
          </w:tcPr>
          <w:p w14:paraId="7DD842A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C830B2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99,6</w:t>
            </w:r>
          </w:p>
        </w:tc>
      </w:tr>
      <w:tr w:rsidR="00907013" w:rsidRPr="00BE68D6" w14:paraId="2EE32699"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179CE53"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Duitsland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8ED326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EB4453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169.514,6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4CFD24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164.180,7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3C2C75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65E40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EA3D8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142.238,2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A4670F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129.016,2</w:t>
            </w:r>
          </w:p>
        </w:tc>
        <w:tc>
          <w:tcPr>
            <w:tcW w:w="639" w:type="dxa"/>
            <w:tcBorders>
              <w:top w:val="nil"/>
              <w:left w:val="nil"/>
              <w:bottom w:val="single" w:sz="4" w:space="0" w:color="FFFFFF" w:themeColor="background1"/>
              <w:right w:val="nil"/>
            </w:tcBorders>
            <w:shd w:val="clear" w:color="auto" w:fill="auto"/>
            <w:noWrap/>
            <w:vAlign w:val="bottom"/>
            <w:hideMark/>
          </w:tcPr>
          <w:p w14:paraId="6B681A7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CCB25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78,6</w:t>
            </w:r>
          </w:p>
        </w:tc>
      </w:tr>
      <w:tr w:rsidR="00907013" w:rsidRPr="00BE68D6" w14:paraId="18DB6926"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B4C97BE"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Spanje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4663DE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616D4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10.122,6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1AA3D0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11.100,6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AF2D44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9,7</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0C7BF9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0DE0C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14.194,5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74A20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20.505,8</w:t>
            </w:r>
          </w:p>
        </w:tc>
        <w:tc>
          <w:tcPr>
            <w:tcW w:w="639" w:type="dxa"/>
            <w:tcBorders>
              <w:top w:val="nil"/>
              <w:left w:val="nil"/>
              <w:bottom w:val="single" w:sz="4" w:space="0" w:color="FFFFFF" w:themeColor="background1"/>
              <w:right w:val="nil"/>
            </w:tcBorders>
            <w:shd w:val="clear" w:color="auto" w:fill="auto"/>
            <w:noWrap/>
            <w:vAlign w:val="bottom"/>
            <w:hideMark/>
          </w:tcPr>
          <w:p w14:paraId="6278FD2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44,5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694786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lang w:eastAsia="nl-BE"/>
              </w:rPr>
              <w:t>184,7</w:t>
            </w:r>
          </w:p>
        </w:tc>
      </w:tr>
      <w:tr w:rsidR="00907013" w:rsidRPr="00BE68D6" w14:paraId="1765385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45DA1F5"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Italië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71B14F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4FFFCD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83.746,9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B942F1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77.597,3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EDF041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AC701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553A1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19.171,1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A2310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23.540,8</w:t>
            </w:r>
          </w:p>
        </w:tc>
        <w:tc>
          <w:tcPr>
            <w:tcW w:w="639" w:type="dxa"/>
            <w:tcBorders>
              <w:top w:val="nil"/>
              <w:left w:val="nil"/>
              <w:bottom w:val="single" w:sz="4" w:space="0" w:color="FFFFFF" w:themeColor="background1"/>
              <w:right w:val="nil"/>
            </w:tcBorders>
            <w:shd w:val="clear" w:color="auto" w:fill="auto"/>
            <w:noWrap/>
            <w:vAlign w:val="bottom"/>
            <w:hideMark/>
          </w:tcPr>
          <w:p w14:paraId="273F23D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22,8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C4E001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30,3</w:t>
            </w:r>
          </w:p>
        </w:tc>
      </w:tr>
      <w:tr w:rsidR="00907013" w:rsidRPr="00BE68D6" w14:paraId="615C746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12E0804"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Luxemburg</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DF648B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C503DF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1.132,5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D67050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830,1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438A99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-26,7</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CF141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41C6F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14.759,9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79BB3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12.941,7</w:t>
            </w:r>
          </w:p>
        </w:tc>
        <w:tc>
          <w:tcPr>
            <w:tcW w:w="639" w:type="dxa"/>
            <w:tcBorders>
              <w:top w:val="nil"/>
              <w:left w:val="nil"/>
              <w:bottom w:val="single" w:sz="4" w:space="0" w:color="FFFFFF" w:themeColor="background1"/>
              <w:right w:val="nil"/>
            </w:tcBorders>
            <w:shd w:val="clear" w:color="auto" w:fill="auto"/>
            <w:noWrap/>
            <w:vAlign w:val="bottom"/>
            <w:hideMark/>
          </w:tcPr>
          <w:p w14:paraId="3E0FA7D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9A59BF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1.559,0</w:t>
            </w:r>
          </w:p>
        </w:tc>
      </w:tr>
      <w:tr w:rsidR="00907013" w:rsidRPr="00BE68D6" w14:paraId="52CA0D9D"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2EA2CAC"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Polen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CC07E2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FB381F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107.829,5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48CDF1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103.704,8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B57DF8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2649C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E84E8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8.951,5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1A3E1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8.878,5</w:t>
            </w:r>
          </w:p>
        </w:tc>
        <w:tc>
          <w:tcPr>
            <w:tcW w:w="639" w:type="dxa"/>
            <w:tcBorders>
              <w:top w:val="nil"/>
              <w:left w:val="nil"/>
              <w:bottom w:val="single" w:sz="4" w:space="0" w:color="FFFFFF" w:themeColor="background1"/>
              <w:right w:val="nil"/>
            </w:tcBorders>
            <w:shd w:val="clear" w:color="auto" w:fill="auto"/>
            <w:noWrap/>
            <w:vAlign w:val="bottom"/>
            <w:hideMark/>
          </w:tcPr>
          <w:p w14:paraId="30CD653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2B05C1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8,6</w:t>
            </w:r>
          </w:p>
        </w:tc>
      </w:tr>
      <w:tr w:rsidR="00907013" w:rsidRPr="00BE68D6" w14:paraId="63DAFDA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C791468"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Ierland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C10A17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5100BB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490,5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39EDE2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1.534,6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0BE24A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212,8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90553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21C3E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8.515,9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65FD4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10.103,9</w:t>
            </w:r>
          </w:p>
        </w:tc>
        <w:tc>
          <w:tcPr>
            <w:tcW w:w="639" w:type="dxa"/>
            <w:tcBorders>
              <w:top w:val="nil"/>
              <w:left w:val="nil"/>
              <w:bottom w:val="single" w:sz="4" w:space="0" w:color="FFFFFF" w:themeColor="background1"/>
              <w:right w:val="nil"/>
            </w:tcBorders>
            <w:shd w:val="clear" w:color="auto" w:fill="auto"/>
            <w:noWrap/>
            <w:vAlign w:val="bottom"/>
            <w:hideMark/>
          </w:tcPr>
          <w:p w14:paraId="2EB1ECF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18,6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ADBF88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658,4</w:t>
            </w:r>
          </w:p>
        </w:tc>
      </w:tr>
      <w:tr w:rsidR="00907013" w:rsidRPr="00BE68D6" w14:paraId="0828C4EF"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341038B"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Oostenrijk</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031E79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58DEAD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2.912,6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076036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3.345,5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A6E72F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3C7B8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5C3DD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6.787,9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BE343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6.743,7</w:t>
            </w:r>
          </w:p>
        </w:tc>
        <w:tc>
          <w:tcPr>
            <w:tcW w:w="639" w:type="dxa"/>
            <w:tcBorders>
              <w:top w:val="nil"/>
              <w:left w:val="nil"/>
              <w:bottom w:val="single" w:sz="4" w:space="0" w:color="FFFFFF" w:themeColor="background1"/>
              <w:right w:val="nil"/>
            </w:tcBorders>
            <w:shd w:val="clear" w:color="auto" w:fill="auto"/>
            <w:noWrap/>
            <w:vAlign w:val="bottom"/>
            <w:hideMark/>
          </w:tcPr>
          <w:p w14:paraId="39E6995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E94A91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201,6</w:t>
            </w:r>
          </w:p>
        </w:tc>
      </w:tr>
      <w:tr w:rsidR="00907013" w:rsidRPr="00BE68D6" w14:paraId="4D85524E"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F17C0EB"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Portugal</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D50C4C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E99ABC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4.303,5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85F046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4.485,9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0397FF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F02EA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3BA95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4.795,7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DC708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5.509,0</w:t>
            </w:r>
          </w:p>
        </w:tc>
        <w:tc>
          <w:tcPr>
            <w:tcW w:w="639" w:type="dxa"/>
            <w:tcBorders>
              <w:top w:val="nil"/>
              <w:left w:val="nil"/>
              <w:bottom w:val="single" w:sz="4" w:space="0" w:color="FFFFFF" w:themeColor="background1"/>
              <w:right w:val="nil"/>
            </w:tcBorders>
            <w:shd w:val="clear" w:color="auto" w:fill="auto"/>
            <w:noWrap/>
            <w:vAlign w:val="bottom"/>
            <w:hideMark/>
          </w:tcPr>
          <w:p w14:paraId="4BD5E9E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87AE3E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122,8</w:t>
            </w:r>
          </w:p>
        </w:tc>
      </w:tr>
      <w:tr w:rsidR="00907013" w:rsidRPr="00BE68D6" w14:paraId="2074FCF6"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EB3682F"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Zweden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3B0917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7CA4E0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17.250,6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71FAE9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15.431,4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57AC20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72968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06A3C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4.622,3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DC5A2C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3.843,9</w:t>
            </w:r>
          </w:p>
        </w:tc>
        <w:tc>
          <w:tcPr>
            <w:tcW w:w="639" w:type="dxa"/>
            <w:tcBorders>
              <w:top w:val="nil"/>
              <w:left w:val="nil"/>
              <w:bottom w:val="single" w:sz="4" w:space="0" w:color="FFFFFF" w:themeColor="background1"/>
              <w:right w:val="nil"/>
            </w:tcBorders>
            <w:shd w:val="clear" w:color="auto" w:fill="auto"/>
            <w:noWrap/>
            <w:vAlign w:val="bottom"/>
            <w:hideMark/>
          </w:tcPr>
          <w:p w14:paraId="2202301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8FCAC9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24,9</w:t>
            </w:r>
          </w:p>
        </w:tc>
      </w:tr>
      <w:tr w:rsidR="00907013" w:rsidRPr="00BE68D6" w14:paraId="78ECD97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3192B61"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Tsjechië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7A2030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D5BE94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11.791,5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A10532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8.023,5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F52F8A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-32,0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18FCD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A7F74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4.497,1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C73E3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6.506,1</w:t>
            </w:r>
          </w:p>
        </w:tc>
        <w:tc>
          <w:tcPr>
            <w:tcW w:w="639" w:type="dxa"/>
            <w:tcBorders>
              <w:top w:val="nil"/>
              <w:left w:val="nil"/>
              <w:bottom w:val="single" w:sz="4" w:space="0" w:color="FFFFFF" w:themeColor="background1"/>
              <w:right w:val="nil"/>
            </w:tcBorders>
            <w:shd w:val="clear" w:color="auto" w:fill="auto"/>
            <w:noWrap/>
            <w:vAlign w:val="bottom"/>
            <w:hideMark/>
          </w:tcPr>
          <w:p w14:paraId="76AA4D0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44,7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E5AB55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81,1</w:t>
            </w:r>
          </w:p>
        </w:tc>
      </w:tr>
      <w:tr w:rsidR="00907013" w:rsidRPr="00BE68D6" w14:paraId="2F48B6E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15EE5D2"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Denemarken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0A3896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CDBCFC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27.507,9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BF9D9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27.580,6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D0DE44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FB4EA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048AC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3.902,2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4C935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2.965,9</w:t>
            </w:r>
          </w:p>
        </w:tc>
        <w:tc>
          <w:tcPr>
            <w:tcW w:w="639" w:type="dxa"/>
            <w:tcBorders>
              <w:top w:val="nil"/>
              <w:left w:val="nil"/>
              <w:bottom w:val="single" w:sz="4" w:space="0" w:color="FFFFFF" w:themeColor="background1"/>
              <w:right w:val="nil"/>
            </w:tcBorders>
            <w:shd w:val="clear" w:color="auto" w:fill="auto"/>
            <w:noWrap/>
            <w:vAlign w:val="bottom"/>
            <w:hideMark/>
          </w:tcPr>
          <w:p w14:paraId="65BC45B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2CA8B2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10,8</w:t>
            </w:r>
          </w:p>
        </w:tc>
      </w:tr>
      <w:tr w:rsidR="00907013" w:rsidRPr="00BE68D6" w14:paraId="38B4B4D9"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39C7E34"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Litouwen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5A25EA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1168E6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13.943,1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962D06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14.025,9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EE0D88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E085B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76BE4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1.998,0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6EB33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2.671,0</w:t>
            </w:r>
          </w:p>
        </w:tc>
        <w:tc>
          <w:tcPr>
            <w:tcW w:w="639" w:type="dxa"/>
            <w:tcBorders>
              <w:top w:val="nil"/>
              <w:left w:val="nil"/>
              <w:bottom w:val="single" w:sz="4" w:space="0" w:color="FFFFFF" w:themeColor="background1"/>
              <w:right w:val="nil"/>
            </w:tcBorders>
            <w:shd w:val="clear" w:color="auto" w:fill="auto"/>
            <w:noWrap/>
            <w:vAlign w:val="bottom"/>
            <w:hideMark/>
          </w:tcPr>
          <w:p w14:paraId="09DE147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33,7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7C481C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19,0</w:t>
            </w:r>
          </w:p>
        </w:tc>
      </w:tr>
      <w:tr w:rsidR="00907013" w:rsidRPr="00BE68D6" w14:paraId="37ABA057"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78AA9B9"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Roemenië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D9DDD3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3CA45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29.642,6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D79157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27.334,2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9384B3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AB766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E9D79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1.984,2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014A2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1.260,2</w:t>
            </w:r>
          </w:p>
        </w:tc>
        <w:tc>
          <w:tcPr>
            <w:tcW w:w="639" w:type="dxa"/>
            <w:tcBorders>
              <w:top w:val="nil"/>
              <w:left w:val="nil"/>
              <w:bottom w:val="single" w:sz="4" w:space="0" w:color="FFFFFF" w:themeColor="background1"/>
              <w:right w:val="nil"/>
            </w:tcBorders>
            <w:shd w:val="clear" w:color="auto" w:fill="auto"/>
            <w:noWrap/>
            <w:vAlign w:val="bottom"/>
            <w:hideMark/>
          </w:tcPr>
          <w:p w14:paraId="118567E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5F0885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4,6</w:t>
            </w:r>
          </w:p>
        </w:tc>
      </w:tr>
      <w:tr w:rsidR="00907013" w:rsidRPr="00BE68D6" w14:paraId="6EFF357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E32F38F"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Griekenland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3B6998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F2BBA8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BA0F1D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123,5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86AA28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EA756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6A5DDA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2.078,7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34700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2.185,9</w:t>
            </w:r>
          </w:p>
        </w:tc>
        <w:tc>
          <w:tcPr>
            <w:tcW w:w="639" w:type="dxa"/>
            <w:tcBorders>
              <w:top w:val="nil"/>
              <w:left w:val="nil"/>
              <w:bottom w:val="single" w:sz="4" w:space="0" w:color="FFFFFF" w:themeColor="background1"/>
              <w:right w:val="nil"/>
            </w:tcBorders>
            <w:shd w:val="clear" w:color="auto" w:fill="auto"/>
            <w:noWrap/>
            <w:vAlign w:val="bottom"/>
            <w:hideMark/>
          </w:tcPr>
          <w:p w14:paraId="7ABBD1F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2735E8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1.770,6</w:t>
            </w:r>
          </w:p>
        </w:tc>
      </w:tr>
      <w:tr w:rsidR="00907013" w:rsidRPr="00BE68D6" w14:paraId="08D8D12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FB2114F"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Hongarije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D4ED4D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44857C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9.348,0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5D650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8.687,0</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7FAC78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C4EF7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2474D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1.910,1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A31B4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726,0</w:t>
            </w:r>
          </w:p>
        </w:tc>
        <w:tc>
          <w:tcPr>
            <w:tcW w:w="639" w:type="dxa"/>
            <w:tcBorders>
              <w:top w:val="nil"/>
              <w:left w:val="nil"/>
              <w:bottom w:val="single" w:sz="4" w:space="0" w:color="FFFFFF" w:themeColor="background1"/>
              <w:right w:val="nil"/>
            </w:tcBorders>
            <w:shd w:val="clear" w:color="auto" w:fill="auto"/>
            <w:noWrap/>
            <w:vAlign w:val="bottom"/>
            <w:hideMark/>
          </w:tcPr>
          <w:p w14:paraId="595A04A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-62,0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D7050C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8,4</w:t>
            </w:r>
          </w:p>
        </w:tc>
      </w:tr>
      <w:tr w:rsidR="00907013" w:rsidRPr="00BE68D6" w14:paraId="499CCFD3"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0DC37E9"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Estland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B59935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676B5E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842,1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32CDB2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2.064,6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ADF8DB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145,2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4C10E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A303D1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875,6</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A45B6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548,7</w:t>
            </w:r>
          </w:p>
        </w:tc>
        <w:tc>
          <w:tcPr>
            <w:tcW w:w="639" w:type="dxa"/>
            <w:tcBorders>
              <w:top w:val="nil"/>
              <w:left w:val="nil"/>
              <w:bottom w:val="single" w:sz="4" w:space="0" w:color="FFFFFF" w:themeColor="background1"/>
              <w:right w:val="nil"/>
            </w:tcBorders>
            <w:shd w:val="clear" w:color="auto" w:fill="auto"/>
            <w:noWrap/>
            <w:vAlign w:val="bottom"/>
            <w:hideMark/>
          </w:tcPr>
          <w:p w14:paraId="1753FD5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-37,3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C2A30B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26,6</w:t>
            </w:r>
          </w:p>
        </w:tc>
      </w:tr>
      <w:tr w:rsidR="00907013" w:rsidRPr="00BE68D6" w14:paraId="46D3A80D"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FDDB396"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Cyprus</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73F447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132E4F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887DAF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EE7DE6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-98,4</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4C7A8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06383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876,7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6A8146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2.193,5</w:t>
            </w:r>
          </w:p>
        </w:tc>
        <w:tc>
          <w:tcPr>
            <w:tcW w:w="639" w:type="dxa"/>
            <w:tcBorders>
              <w:top w:val="nil"/>
              <w:left w:val="nil"/>
              <w:bottom w:val="single" w:sz="4" w:space="0" w:color="FFFFFF" w:themeColor="background1"/>
              <w:right w:val="nil"/>
            </w:tcBorders>
            <w:shd w:val="clear" w:color="auto" w:fill="auto"/>
            <w:noWrap/>
            <w:vAlign w:val="bottom"/>
            <w:hideMark/>
          </w:tcPr>
          <w:p w14:paraId="2924E0D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150,2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6D2249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3.916.912,5</w:t>
            </w:r>
          </w:p>
        </w:tc>
      </w:tr>
      <w:tr w:rsidR="00907013" w:rsidRPr="00BE68D6" w14:paraId="6EDEC583"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0E2CEB8"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Slowakije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821341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CD77E7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3.088,4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21B729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951,5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208297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-69,2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E2C1B9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D2C3E4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857,7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5D5D4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841,7</w:t>
            </w:r>
          </w:p>
        </w:tc>
        <w:tc>
          <w:tcPr>
            <w:tcW w:w="639" w:type="dxa"/>
            <w:tcBorders>
              <w:top w:val="nil"/>
              <w:left w:val="nil"/>
              <w:bottom w:val="single" w:sz="4" w:space="0" w:color="FFFFFF" w:themeColor="background1"/>
              <w:right w:val="nil"/>
            </w:tcBorders>
            <w:shd w:val="clear" w:color="auto" w:fill="auto"/>
            <w:noWrap/>
            <w:vAlign w:val="bottom"/>
            <w:hideMark/>
          </w:tcPr>
          <w:p w14:paraId="09D0CEB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A969BA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88,5</w:t>
            </w:r>
          </w:p>
        </w:tc>
      </w:tr>
      <w:tr w:rsidR="00907013" w:rsidRPr="00BE68D6" w14:paraId="49A18A1C"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34C1CFC"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Finland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A00ED0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092EF2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5.002,2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FED866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5.076,2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64B0CF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3C515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0A587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853,3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F1AF5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773,8</w:t>
            </w:r>
          </w:p>
        </w:tc>
        <w:tc>
          <w:tcPr>
            <w:tcW w:w="639" w:type="dxa"/>
            <w:tcBorders>
              <w:top w:val="nil"/>
              <w:left w:val="nil"/>
              <w:bottom w:val="single" w:sz="4" w:space="0" w:color="FFFFFF" w:themeColor="background1"/>
              <w:right w:val="nil"/>
            </w:tcBorders>
            <w:shd w:val="clear" w:color="auto" w:fill="auto"/>
            <w:noWrap/>
            <w:vAlign w:val="bottom"/>
            <w:hideMark/>
          </w:tcPr>
          <w:p w14:paraId="42E0871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AAE86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15,2</w:t>
            </w:r>
          </w:p>
        </w:tc>
      </w:tr>
      <w:tr w:rsidR="00907013" w:rsidRPr="00BE68D6" w14:paraId="5B627DF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53C28D7"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Malta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FF7A3A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A4F59C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133DBA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D7F07B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-62,0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D56B93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0D2BE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566,5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5944F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361,5</w:t>
            </w:r>
          </w:p>
        </w:tc>
        <w:tc>
          <w:tcPr>
            <w:tcW w:w="639" w:type="dxa"/>
            <w:tcBorders>
              <w:top w:val="nil"/>
              <w:left w:val="nil"/>
              <w:bottom w:val="single" w:sz="4" w:space="0" w:color="FFFFFF" w:themeColor="background1"/>
              <w:right w:val="nil"/>
            </w:tcBorders>
            <w:shd w:val="clear" w:color="auto" w:fill="auto"/>
            <w:noWrap/>
            <w:vAlign w:val="bottom"/>
            <w:hideMark/>
          </w:tcPr>
          <w:p w14:paraId="1AB74C4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-36,2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4F58E5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17.363,1</w:t>
            </w:r>
          </w:p>
        </w:tc>
      </w:tr>
      <w:tr w:rsidR="00907013" w:rsidRPr="00BE68D6" w14:paraId="60C1589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C865453"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Slovenië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85DE2D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4D3771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498,3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F8BACD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640,8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C7313B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28,6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C747B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1800B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502,3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E04B4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351,8</w:t>
            </w:r>
          </w:p>
        </w:tc>
        <w:tc>
          <w:tcPr>
            <w:tcW w:w="639" w:type="dxa"/>
            <w:tcBorders>
              <w:top w:val="nil"/>
              <w:left w:val="nil"/>
              <w:bottom w:val="single" w:sz="4" w:space="0" w:color="FFFFFF" w:themeColor="background1"/>
              <w:right w:val="nil"/>
            </w:tcBorders>
            <w:shd w:val="clear" w:color="auto" w:fill="auto"/>
            <w:noWrap/>
            <w:vAlign w:val="bottom"/>
            <w:hideMark/>
          </w:tcPr>
          <w:p w14:paraId="1FB440E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-30,0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12B9A0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54,9</w:t>
            </w:r>
          </w:p>
        </w:tc>
      </w:tr>
      <w:tr w:rsidR="00907013" w:rsidRPr="00BE68D6" w14:paraId="334BC04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4703BFE"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Kroatië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0BA86B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ED0107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728,2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F13D50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950,3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6E16CA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12122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4FCAB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429,1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21D40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469,0</w:t>
            </w:r>
          </w:p>
        </w:tc>
        <w:tc>
          <w:tcPr>
            <w:tcW w:w="639" w:type="dxa"/>
            <w:tcBorders>
              <w:top w:val="nil"/>
              <w:left w:val="nil"/>
              <w:bottom w:val="single" w:sz="4" w:space="0" w:color="FFFFFF" w:themeColor="background1"/>
              <w:right w:val="nil"/>
            </w:tcBorders>
            <w:shd w:val="clear" w:color="auto" w:fill="auto"/>
            <w:noWrap/>
            <w:vAlign w:val="bottom"/>
            <w:hideMark/>
          </w:tcPr>
          <w:p w14:paraId="01D01E2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821C9E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49,4</w:t>
            </w:r>
          </w:p>
        </w:tc>
      </w:tr>
      <w:tr w:rsidR="00907013" w:rsidRPr="00BE68D6" w14:paraId="4CCB872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C1BF2A0"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Bulgarije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737E2F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0B7E9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2.493,4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20444A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2.981,2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8CB177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250AED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5029D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399,2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6154A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2.054,6</w:t>
            </w:r>
          </w:p>
        </w:tc>
        <w:tc>
          <w:tcPr>
            <w:tcW w:w="639" w:type="dxa"/>
            <w:tcBorders>
              <w:top w:val="nil"/>
              <w:left w:val="nil"/>
              <w:bottom w:val="single" w:sz="4" w:space="0" w:color="FFFFFF" w:themeColor="background1"/>
              <w:right w:val="nil"/>
            </w:tcBorders>
            <w:shd w:val="clear" w:color="auto" w:fill="auto"/>
            <w:noWrap/>
            <w:vAlign w:val="bottom"/>
            <w:hideMark/>
          </w:tcPr>
          <w:p w14:paraId="12F94BB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414,7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0DA2BB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68,9</w:t>
            </w:r>
          </w:p>
        </w:tc>
      </w:tr>
      <w:tr w:rsidR="00907013" w:rsidRPr="00BE68D6" w14:paraId="0E159B23"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70C0F07"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Letland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4A93F2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BE8C38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189,2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BA24F1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387,6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CC0E38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104,9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E6428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94337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205,1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87ACC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136,3</w:t>
            </w:r>
          </w:p>
        </w:tc>
        <w:tc>
          <w:tcPr>
            <w:tcW w:w="639" w:type="dxa"/>
            <w:tcBorders>
              <w:top w:val="nil"/>
              <w:left w:val="nil"/>
              <w:bottom w:val="single" w:sz="4" w:space="0" w:color="FFFFFF" w:themeColor="background1"/>
              <w:right w:val="nil"/>
            </w:tcBorders>
            <w:shd w:val="clear" w:color="auto" w:fill="auto"/>
            <w:noWrap/>
            <w:vAlign w:val="bottom"/>
            <w:hideMark/>
          </w:tcPr>
          <w:p w14:paraId="21FB555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-33,5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2067DD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35,2</w:t>
            </w:r>
          </w:p>
        </w:tc>
      </w:tr>
      <w:tr w:rsidR="00907013" w:rsidRPr="00BE68D6" w14:paraId="5B36FB72" w14:textId="77777777" w:rsidTr="00C07BA6">
        <w:tc>
          <w:tcPr>
            <w:tcW w:w="1229" w:type="dxa"/>
            <w:tcBorders>
              <w:top w:val="single" w:sz="4" w:space="0" w:color="auto"/>
              <w:left w:val="single" w:sz="4" w:space="0" w:color="auto"/>
              <w:bottom w:val="single" w:sz="4" w:space="0" w:color="auto"/>
              <w:right w:val="nil"/>
            </w:tcBorders>
            <w:shd w:val="clear" w:color="auto" w:fill="auto"/>
            <w:vAlign w:val="bottom"/>
            <w:hideMark/>
          </w:tcPr>
          <w:p w14:paraId="6DED49E1" w14:textId="77777777" w:rsidR="00907013" w:rsidRPr="00BE68D6" w:rsidRDefault="00907013" w:rsidP="00C07BA6">
            <w:pPr>
              <w:rPr>
                <w:rFonts w:cstheme="minorHAnsi"/>
                <w:b/>
                <w:bCs/>
                <w:color w:val="000000"/>
                <w:sz w:val="16"/>
                <w:szCs w:val="16"/>
                <w:lang w:eastAsia="nl-BE"/>
              </w:rPr>
            </w:pPr>
            <w:r w:rsidRPr="00BE68D6">
              <w:rPr>
                <w:rFonts w:cstheme="minorHAnsi"/>
                <w:b/>
                <w:bCs/>
                <w:color w:val="000000"/>
                <w:sz w:val="16"/>
                <w:szCs w:val="16"/>
                <w:lang w:eastAsia="nl-BE"/>
              </w:rPr>
              <w:t>Europese Unie</w:t>
            </w:r>
          </w:p>
        </w:tc>
        <w:tc>
          <w:tcPr>
            <w:tcW w:w="609" w:type="dxa"/>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14:paraId="43383779"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62,2</w:t>
            </w:r>
          </w:p>
        </w:tc>
        <w:tc>
          <w:tcPr>
            <w:tcW w:w="98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5EB4E4D0"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787.912,2</w:t>
            </w:r>
          </w:p>
        </w:tc>
        <w:tc>
          <w:tcPr>
            <w:tcW w:w="98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5CBAE0D1"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758.470,3</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084FA94A"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-3,7</w:t>
            </w:r>
          </w:p>
        </w:tc>
        <w:tc>
          <w:tcPr>
            <w:tcW w:w="786"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731E3CEB"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89,4</w:t>
            </w:r>
          </w:p>
        </w:tc>
        <w:tc>
          <w:tcPr>
            <w:tcW w:w="859"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6A13F6AF"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829.210,7</w:t>
            </w:r>
          </w:p>
        </w:tc>
        <w:tc>
          <w:tcPr>
            <w:tcW w:w="859"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1AEB8665"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716.981,9</w:t>
            </w:r>
          </w:p>
        </w:tc>
        <w:tc>
          <w:tcPr>
            <w:tcW w:w="639" w:type="dxa"/>
            <w:tcBorders>
              <w:top w:val="single" w:sz="4" w:space="0" w:color="auto"/>
              <w:left w:val="nil"/>
              <w:bottom w:val="single" w:sz="4" w:space="0" w:color="auto"/>
              <w:right w:val="nil"/>
            </w:tcBorders>
            <w:shd w:val="clear" w:color="auto" w:fill="auto"/>
            <w:noWrap/>
            <w:vAlign w:val="bottom"/>
            <w:hideMark/>
          </w:tcPr>
          <w:p w14:paraId="588F9CF8"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-13,5</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5AC7D" w14:textId="77777777" w:rsidR="00907013" w:rsidRPr="00BE68D6" w:rsidRDefault="00907013" w:rsidP="00C07BA6">
            <w:pPr>
              <w:jc w:val="right"/>
              <w:rPr>
                <w:rFonts w:cstheme="minorHAnsi"/>
                <w:b/>
                <w:bCs/>
                <w:color w:val="000000"/>
                <w:sz w:val="16"/>
                <w:szCs w:val="16"/>
                <w:lang w:eastAsia="nl-BE"/>
              </w:rPr>
            </w:pPr>
            <w:r w:rsidRPr="00BE68D6">
              <w:rPr>
                <w:rFonts w:cstheme="minorHAnsi"/>
                <w:b/>
                <w:bCs/>
                <w:color w:val="000000"/>
                <w:sz w:val="16"/>
                <w:szCs w:val="16"/>
              </w:rPr>
              <w:t>94,5</w:t>
            </w:r>
          </w:p>
        </w:tc>
      </w:tr>
      <w:tr w:rsidR="00907013" w:rsidRPr="00BE68D6" w14:paraId="114EFC8E" w14:textId="77777777" w:rsidTr="00C07BA6">
        <w:tc>
          <w:tcPr>
            <w:tcW w:w="1229"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67591B8E"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Verenigd Koninkrijk</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082F9F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1BBB66D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10.579,8</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7F65539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8.451,6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D43DF7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E14A9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60F8A6F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22.932,9</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3E2AB04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19.142,6</w:t>
            </w:r>
          </w:p>
        </w:tc>
        <w:tc>
          <w:tcPr>
            <w:tcW w:w="639" w:type="dxa"/>
            <w:tcBorders>
              <w:top w:val="nil"/>
              <w:left w:val="nil"/>
              <w:bottom w:val="single" w:sz="4" w:space="0" w:color="FFFFFF" w:themeColor="background1"/>
              <w:right w:val="nil"/>
            </w:tcBorders>
            <w:shd w:val="clear" w:color="auto" w:fill="auto"/>
            <w:noWrap/>
            <w:vAlign w:val="bottom"/>
            <w:hideMark/>
          </w:tcPr>
          <w:p w14:paraId="06B90CA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42818E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226,5</w:t>
            </w:r>
          </w:p>
        </w:tc>
      </w:tr>
      <w:tr w:rsidR="00907013" w:rsidRPr="00BE68D6" w14:paraId="2D50167C"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E3B8963"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Zwitserland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D125E7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4BF3B0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1.299,5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749153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1.062,9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9BF174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-18,2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ECB8C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79E7A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10.497,5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B8324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11.084,4</w:t>
            </w:r>
          </w:p>
        </w:tc>
        <w:tc>
          <w:tcPr>
            <w:tcW w:w="639" w:type="dxa"/>
            <w:tcBorders>
              <w:top w:val="nil"/>
              <w:left w:val="nil"/>
              <w:bottom w:val="single" w:sz="4" w:space="0" w:color="FFFFFF" w:themeColor="background1"/>
              <w:right w:val="nil"/>
            </w:tcBorders>
            <w:shd w:val="clear" w:color="auto" w:fill="auto"/>
            <w:noWrap/>
            <w:vAlign w:val="bottom"/>
            <w:hideMark/>
          </w:tcPr>
          <w:p w14:paraId="666DB45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9AD6D8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1.042,8</w:t>
            </w:r>
          </w:p>
        </w:tc>
      </w:tr>
      <w:tr w:rsidR="00907013" w:rsidRPr="00BE68D6" w14:paraId="72123FEB"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47B543B"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lastRenderedPageBreak/>
              <w:t>Noorwegen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A5B5CB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DFF8C2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25,7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FB0813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30,4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1592A8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18,1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C0CB2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3DFEF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867,5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6B304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896,1</w:t>
            </w:r>
          </w:p>
        </w:tc>
        <w:tc>
          <w:tcPr>
            <w:tcW w:w="639" w:type="dxa"/>
            <w:tcBorders>
              <w:top w:val="nil"/>
              <w:left w:val="nil"/>
              <w:bottom w:val="single" w:sz="4" w:space="0" w:color="FFFFFF" w:themeColor="background1"/>
              <w:right w:val="nil"/>
            </w:tcBorders>
            <w:shd w:val="clear" w:color="auto" w:fill="auto"/>
            <w:noWrap/>
            <w:vAlign w:val="bottom"/>
            <w:hideMark/>
          </w:tcPr>
          <w:p w14:paraId="572913B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DE695E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2.950,1</w:t>
            </w:r>
          </w:p>
        </w:tc>
      </w:tr>
      <w:tr w:rsidR="00907013" w:rsidRPr="00BE68D6" w14:paraId="2D1E3C1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12B1B9F"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Oekraïne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DCF895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DD49BA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11.236,2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063653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9.947,2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02E3D1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EA032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87D5C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49,0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1FCD6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150,6</w:t>
            </w:r>
          </w:p>
        </w:tc>
        <w:tc>
          <w:tcPr>
            <w:tcW w:w="639" w:type="dxa"/>
            <w:tcBorders>
              <w:top w:val="nil"/>
              <w:left w:val="nil"/>
              <w:bottom w:val="single" w:sz="4" w:space="0" w:color="FFFFFF" w:themeColor="background1"/>
              <w:right w:val="nil"/>
            </w:tcBorders>
            <w:shd w:val="clear" w:color="auto" w:fill="auto"/>
            <w:noWrap/>
            <w:vAlign w:val="bottom"/>
            <w:hideMark/>
          </w:tcPr>
          <w:p w14:paraId="61182AD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207,5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730FB1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w:t>
            </w:r>
          </w:p>
        </w:tc>
      </w:tr>
      <w:tr w:rsidR="00907013" w:rsidRPr="00BE68D6" w14:paraId="317E8304"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BF2F206"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Servië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23BC39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9CA876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8.173,5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9B8C88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8.768,2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0F14AD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D1009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1126B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102,2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07A76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152,1</w:t>
            </w:r>
          </w:p>
        </w:tc>
        <w:tc>
          <w:tcPr>
            <w:tcW w:w="639" w:type="dxa"/>
            <w:tcBorders>
              <w:top w:val="nil"/>
              <w:left w:val="nil"/>
              <w:bottom w:val="single" w:sz="4" w:space="0" w:color="FFFFFF" w:themeColor="background1"/>
              <w:right w:val="nil"/>
            </w:tcBorders>
            <w:shd w:val="clear" w:color="auto" w:fill="auto"/>
            <w:noWrap/>
            <w:vAlign w:val="bottom"/>
            <w:hideMark/>
          </w:tcPr>
          <w:p w14:paraId="2DAE01B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48,8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785C26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w:t>
            </w:r>
          </w:p>
        </w:tc>
      </w:tr>
      <w:tr w:rsidR="00907013" w:rsidRPr="00BE68D6" w14:paraId="573BC53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D74F563"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VSA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AF6B4F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58A994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2.993,7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269EA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4.101,7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1A0EAB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37,0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59795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903A5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17.526,4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1B2FF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19.439,8</w:t>
            </w:r>
          </w:p>
        </w:tc>
        <w:tc>
          <w:tcPr>
            <w:tcW w:w="639" w:type="dxa"/>
            <w:tcBorders>
              <w:top w:val="nil"/>
              <w:left w:val="nil"/>
              <w:bottom w:val="single" w:sz="4" w:space="0" w:color="FFFFFF" w:themeColor="background1"/>
              <w:right w:val="nil"/>
            </w:tcBorders>
            <w:shd w:val="clear" w:color="auto" w:fill="auto"/>
            <w:noWrap/>
            <w:vAlign w:val="bottom"/>
            <w:hideMark/>
          </w:tcPr>
          <w:p w14:paraId="0A0BE31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51379F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473,9</w:t>
            </w:r>
          </w:p>
        </w:tc>
      </w:tr>
      <w:tr w:rsidR="00907013" w:rsidRPr="00BE68D6" w14:paraId="39E6DE1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B0899F5"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Canada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407057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C69D90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259,0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3B70AB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78,7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022613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-69,6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F8ACA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03B66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2.596,5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78F79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1.298,7</w:t>
            </w:r>
          </w:p>
        </w:tc>
        <w:tc>
          <w:tcPr>
            <w:tcW w:w="639" w:type="dxa"/>
            <w:tcBorders>
              <w:top w:val="nil"/>
              <w:left w:val="nil"/>
              <w:bottom w:val="single" w:sz="4" w:space="0" w:color="FFFFFF" w:themeColor="background1"/>
              <w:right w:val="nil"/>
            </w:tcBorders>
            <w:shd w:val="clear" w:color="auto" w:fill="auto"/>
            <w:noWrap/>
            <w:vAlign w:val="bottom"/>
            <w:hideMark/>
          </w:tcPr>
          <w:p w14:paraId="3CC0385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-50,0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53E80F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1.649,6</w:t>
            </w:r>
          </w:p>
        </w:tc>
      </w:tr>
      <w:tr w:rsidR="00907013" w:rsidRPr="00BE68D6" w14:paraId="6E392B9C"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8E23DEA"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Australië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A6E30F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05A6B3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7CF3EB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148,3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4A605B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750,4</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3622C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E142A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3.599,2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C7AF8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1.451,8</w:t>
            </w:r>
          </w:p>
        </w:tc>
        <w:tc>
          <w:tcPr>
            <w:tcW w:w="639" w:type="dxa"/>
            <w:tcBorders>
              <w:top w:val="nil"/>
              <w:left w:val="nil"/>
              <w:bottom w:val="single" w:sz="4" w:space="0" w:color="FFFFFF" w:themeColor="background1"/>
              <w:right w:val="nil"/>
            </w:tcBorders>
            <w:shd w:val="clear" w:color="auto" w:fill="auto"/>
            <w:noWrap/>
            <w:vAlign w:val="bottom"/>
            <w:hideMark/>
          </w:tcPr>
          <w:p w14:paraId="22A5BD9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-59,7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B67F54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979,2</w:t>
            </w:r>
          </w:p>
        </w:tc>
      </w:tr>
      <w:tr w:rsidR="00907013" w:rsidRPr="00BE68D6" w14:paraId="002FBA4E"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24AEDD2"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Israël</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F92455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7BE3D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3.693,0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0E08DE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3.355,9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1B0350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F009A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AFA5B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2.375,9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75179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4.389,7</w:t>
            </w:r>
          </w:p>
        </w:tc>
        <w:tc>
          <w:tcPr>
            <w:tcW w:w="639" w:type="dxa"/>
            <w:tcBorders>
              <w:top w:val="nil"/>
              <w:left w:val="nil"/>
              <w:bottom w:val="single" w:sz="4" w:space="0" w:color="FFFFFF" w:themeColor="background1"/>
              <w:right w:val="nil"/>
            </w:tcBorders>
            <w:shd w:val="clear" w:color="auto" w:fill="auto"/>
            <w:noWrap/>
            <w:vAlign w:val="bottom"/>
            <w:hideMark/>
          </w:tcPr>
          <w:p w14:paraId="06182D2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84,8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8898E9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130,8</w:t>
            </w:r>
          </w:p>
        </w:tc>
      </w:tr>
      <w:tr w:rsidR="00907013" w:rsidRPr="00BE68D6" w14:paraId="09068684"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20B0373"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Singapore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B9026B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42973A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54774B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15635A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10.934,0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55FE7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102C8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2.002,4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88B0F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471,2</w:t>
            </w:r>
          </w:p>
        </w:tc>
        <w:tc>
          <w:tcPr>
            <w:tcW w:w="639" w:type="dxa"/>
            <w:tcBorders>
              <w:top w:val="nil"/>
              <w:left w:val="nil"/>
              <w:bottom w:val="single" w:sz="4" w:space="0" w:color="FFFFFF" w:themeColor="background1"/>
              <w:right w:val="nil"/>
            </w:tcBorders>
            <w:shd w:val="clear" w:color="auto" w:fill="auto"/>
            <w:noWrap/>
            <w:vAlign w:val="bottom"/>
            <w:hideMark/>
          </w:tcPr>
          <w:p w14:paraId="7EFA256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D79142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537,9</w:t>
            </w:r>
          </w:p>
        </w:tc>
      </w:tr>
      <w:tr w:rsidR="00907013" w:rsidRPr="00BE68D6" w14:paraId="73E5BF8B"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A633CD6"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China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C21B12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3956BE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435.104,5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65A1F4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302.056,0</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A6E481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-30,6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CFC89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4FDBF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1.646,3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B7788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1.736,7</w:t>
            </w:r>
          </w:p>
        </w:tc>
        <w:tc>
          <w:tcPr>
            <w:tcW w:w="639" w:type="dxa"/>
            <w:tcBorders>
              <w:top w:val="nil"/>
              <w:left w:val="nil"/>
              <w:bottom w:val="single" w:sz="4" w:space="0" w:color="FFFFFF" w:themeColor="background1"/>
              <w:right w:val="nil"/>
            </w:tcBorders>
            <w:shd w:val="clear" w:color="auto" w:fill="auto"/>
            <w:noWrap/>
            <w:vAlign w:val="bottom"/>
            <w:hideMark/>
          </w:tcPr>
          <w:p w14:paraId="5097203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BCBE8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0,6</w:t>
            </w:r>
          </w:p>
        </w:tc>
      </w:tr>
      <w:tr w:rsidR="00907013" w:rsidRPr="00BE68D6" w14:paraId="269AD326"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FF21F6C"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Hong Kong</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6AC49A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A934AB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602,4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FA6124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692,5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118897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15,0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5F236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DDF99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583,8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BCE14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822,7</w:t>
            </w:r>
          </w:p>
        </w:tc>
        <w:tc>
          <w:tcPr>
            <w:tcW w:w="639" w:type="dxa"/>
            <w:tcBorders>
              <w:top w:val="nil"/>
              <w:left w:val="nil"/>
              <w:bottom w:val="single" w:sz="4" w:space="0" w:color="FFFFFF" w:themeColor="background1"/>
              <w:right w:val="nil"/>
            </w:tcBorders>
            <w:shd w:val="clear" w:color="auto" w:fill="auto"/>
            <w:noWrap/>
            <w:vAlign w:val="bottom"/>
            <w:hideMark/>
          </w:tcPr>
          <w:p w14:paraId="141C6A2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40,9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121BEA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118,8</w:t>
            </w:r>
          </w:p>
        </w:tc>
      </w:tr>
      <w:tr w:rsidR="00907013" w:rsidRPr="00BE68D6" w14:paraId="286CAB7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CA3162C"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Turkije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79666C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FF0F2F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53.455,8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9A613C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46.790,9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3515A2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FDB36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D7AF9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256,7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278DAE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230,1</w:t>
            </w:r>
          </w:p>
        </w:tc>
        <w:tc>
          <w:tcPr>
            <w:tcW w:w="639" w:type="dxa"/>
            <w:tcBorders>
              <w:top w:val="nil"/>
              <w:left w:val="nil"/>
              <w:bottom w:val="single" w:sz="4" w:space="0" w:color="FFFFFF" w:themeColor="background1"/>
              <w:right w:val="nil"/>
            </w:tcBorders>
            <w:shd w:val="clear" w:color="auto" w:fill="auto"/>
            <w:noWrap/>
            <w:vAlign w:val="bottom"/>
            <w:hideMark/>
          </w:tcPr>
          <w:p w14:paraId="0173751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-10,4</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560AA2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0,5</w:t>
            </w:r>
          </w:p>
        </w:tc>
      </w:tr>
      <w:tr w:rsidR="00907013" w:rsidRPr="00BE68D6" w14:paraId="1E691113"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BFA6E29"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Indonesië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160FFC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402F1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64.636,0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5C0E2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32.436,7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497D05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-49,8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F2130F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60B6F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291,8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45915C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237,5</w:t>
            </w:r>
          </w:p>
        </w:tc>
        <w:tc>
          <w:tcPr>
            <w:tcW w:w="639" w:type="dxa"/>
            <w:tcBorders>
              <w:top w:val="nil"/>
              <w:left w:val="nil"/>
              <w:bottom w:val="single" w:sz="4" w:space="0" w:color="FFFFFF" w:themeColor="background1"/>
              <w:right w:val="nil"/>
            </w:tcBorders>
            <w:shd w:val="clear" w:color="auto" w:fill="auto"/>
            <w:noWrap/>
            <w:vAlign w:val="bottom"/>
            <w:hideMark/>
          </w:tcPr>
          <w:p w14:paraId="28A43AA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-18,6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F6B9CB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r>
      <w:tr w:rsidR="00907013" w:rsidRPr="00BE68D6" w14:paraId="5C416CAA"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FC0B688"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Thailand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F2754D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2EDFF3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5.352,1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F63BAC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2.187,8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001B5D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-59,1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AAF85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06E52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542,4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91A2B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532,5</w:t>
            </w:r>
          </w:p>
        </w:tc>
        <w:tc>
          <w:tcPr>
            <w:tcW w:w="639" w:type="dxa"/>
            <w:tcBorders>
              <w:top w:val="nil"/>
              <w:left w:val="nil"/>
              <w:bottom w:val="single" w:sz="4" w:space="0" w:color="FFFFFF" w:themeColor="background1"/>
              <w:right w:val="nil"/>
            </w:tcBorders>
            <w:shd w:val="clear" w:color="auto" w:fill="auto"/>
            <w:noWrap/>
            <w:vAlign w:val="bottom"/>
            <w:hideMark/>
          </w:tcPr>
          <w:p w14:paraId="2B1C445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6775D4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24,3</w:t>
            </w:r>
          </w:p>
        </w:tc>
      </w:tr>
      <w:tr w:rsidR="00907013" w:rsidRPr="00BE68D6" w14:paraId="22E1DD23"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4F29EE2"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Taiwan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AC617D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C8EA2B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1.792,5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7047B0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608,4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1F098C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-66,1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20FC7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A81CDF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245,2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C7AF8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416,4</w:t>
            </w:r>
          </w:p>
        </w:tc>
        <w:tc>
          <w:tcPr>
            <w:tcW w:w="639" w:type="dxa"/>
            <w:tcBorders>
              <w:top w:val="nil"/>
              <w:left w:val="nil"/>
              <w:bottom w:val="single" w:sz="4" w:space="0" w:color="FFFFFF" w:themeColor="background1"/>
              <w:right w:val="nil"/>
            </w:tcBorders>
            <w:shd w:val="clear" w:color="auto" w:fill="auto"/>
            <w:noWrap/>
            <w:vAlign w:val="bottom"/>
            <w:hideMark/>
          </w:tcPr>
          <w:p w14:paraId="17A4F73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69,8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EAC4BB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68,5</w:t>
            </w:r>
          </w:p>
        </w:tc>
      </w:tr>
      <w:tr w:rsidR="00907013" w:rsidRPr="00BE68D6" w14:paraId="340A15C8"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DED54E4"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India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4DE8C1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8B213D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22.334,7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2B0211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8.907,6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9F2E84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6C5624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58150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538,5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2AD80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496,9</w:t>
            </w:r>
          </w:p>
        </w:tc>
        <w:tc>
          <w:tcPr>
            <w:tcW w:w="639" w:type="dxa"/>
            <w:tcBorders>
              <w:top w:val="nil"/>
              <w:left w:val="nil"/>
              <w:bottom w:val="single" w:sz="4" w:space="0" w:color="FFFFFF" w:themeColor="background1"/>
              <w:right w:val="nil"/>
            </w:tcBorders>
            <w:shd w:val="clear" w:color="auto" w:fill="auto"/>
            <w:noWrap/>
            <w:vAlign w:val="bottom"/>
            <w:hideMark/>
          </w:tcPr>
          <w:p w14:paraId="41AF3AE5"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A734AD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5,6</w:t>
            </w:r>
          </w:p>
        </w:tc>
      </w:tr>
      <w:tr w:rsidR="00907013" w:rsidRPr="00BE68D6" w14:paraId="33A9EE18"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1F27C31"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Maleisië</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E9311C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B1EF9E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10.094,9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E66239A"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3.989,4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F70C18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-60,5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BE531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870994"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79,9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2873347"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112,7</w:t>
            </w:r>
          </w:p>
        </w:tc>
        <w:tc>
          <w:tcPr>
            <w:tcW w:w="639" w:type="dxa"/>
            <w:tcBorders>
              <w:top w:val="nil"/>
              <w:left w:val="nil"/>
              <w:bottom w:val="single" w:sz="4" w:space="0" w:color="FFFFFF" w:themeColor="background1"/>
              <w:right w:val="nil"/>
            </w:tcBorders>
            <w:shd w:val="clear" w:color="auto" w:fill="auto"/>
            <w:noWrap/>
            <w:vAlign w:val="bottom"/>
            <w:hideMark/>
          </w:tcPr>
          <w:p w14:paraId="27C713B2"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41,0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B4B5288"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2,8</w:t>
            </w:r>
          </w:p>
        </w:tc>
      </w:tr>
      <w:tr w:rsidR="00907013" w:rsidRPr="00BE68D6" w14:paraId="63A2385E" w14:textId="77777777" w:rsidTr="00C07BA6">
        <w:tc>
          <w:tcPr>
            <w:tcW w:w="1229" w:type="dxa"/>
            <w:tcBorders>
              <w:top w:val="nil"/>
              <w:left w:val="single" w:sz="4" w:space="0" w:color="auto"/>
              <w:bottom w:val="nil"/>
              <w:right w:val="nil"/>
            </w:tcBorders>
            <w:shd w:val="clear" w:color="auto" w:fill="auto"/>
            <w:vAlign w:val="bottom"/>
            <w:hideMark/>
          </w:tcPr>
          <w:p w14:paraId="191FDB86"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Vietnam</w:t>
            </w:r>
          </w:p>
        </w:tc>
        <w:tc>
          <w:tcPr>
            <w:tcW w:w="609" w:type="dxa"/>
            <w:tcBorders>
              <w:top w:val="nil"/>
              <w:left w:val="single" w:sz="4" w:space="0" w:color="auto"/>
              <w:bottom w:val="nil"/>
              <w:right w:val="single" w:sz="4" w:space="0" w:color="FFFFFF" w:themeColor="background1"/>
            </w:tcBorders>
            <w:shd w:val="clear" w:color="auto" w:fill="auto"/>
            <w:vAlign w:val="bottom"/>
            <w:hideMark/>
          </w:tcPr>
          <w:p w14:paraId="76355E1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1,4</w:t>
            </w:r>
          </w:p>
        </w:tc>
        <w:tc>
          <w:tcPr>
            <w:tcW w:w="980" w:type="dxa"/>
            <w:tcBorders>
              <w:top w:val="nil"/>
              <w:left w:val="nil"/>
              <w:bottom w:val="nil"/>
              <w:right w:val="single" w:sz="4" w:space="0" w:color="FFFFFF" w:themeColor="background1"/>
            </w:tcBorders>
            <w:shd w:val="clear" w:color="auto" w:fill="auto"/>
            <w:vAlign w:val="bottom"/>
            <w:hideMark/>
          </w:tcPr>
          <w:p w14:paraId="7868BF2C"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38.189,4</w:t>
            </w:r>
          </w:p>
        </w:tc>
        <w:tc>
          <w:tcPr>
            <w:tcW w:w="980" w:type="dxa"/>
            <w:tcBorders>
              <w:top w:val="nil"/>
              <w:left w:val="nil"/>
              <w:bottom w:val="nil"/>
              <w:right w:val="single" w:sz="4" w:space="0" w:color="FFFFFF" w:themeColor="background1"/>
            </w:tcBorders>
            <w:shd w:val="clear" w:color="auto" w:fill="auto"/>
            <w:vAlign w:val="bottom"/>
            <w:hideMark/>
          </w:tcPr>
          <w:p w14:paraId="657AFB2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17.264,7</w:t>
            </w:r>
          </w:p>
        </w:tc>
        <w:tc>
          <w:tcPr>
            <w:tcW w:w="827" w:type="dxa"/>
            <w:tcBorders>
              <w:top w:val="nil"/>
              <w:left w:val="nil"/>
              <w:bottom w:val="nil"/>
              <w:right w:val="single" w:sz="4" w:space="0" w:color="auto"/>
            </w:tcBorders>
            <w:shd w:val="clear" w:color="auto" w:fill="auto"/>
            <w:noWrap/>
            <w:vAlign w:val="bottom"/>
            <w:hideMark/>
          </w:tcPr>
          <w:p w14:paraId="3A03322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-54,8</w:t>
            </w:r>
          </w:p>
        </w:tc>
        <w:tc>
          <w:tcPr>
            <w:tcW w:w="786" w:type="dxa"/>
            <w:tcBorders>
              <w:top w:val="nil"/>
              <w:left w:val="nil"/>
              <w:bottom w:val="nil"/>
              <w:right w:val="single" w:sz="4" w:space="0" w:color="FFFFFF" w:themeColor="background1"/>
            </w:tcBorders>
            <w:shd w:val="clear" w:color="auto" w:fill="auto"/>
            <w:noWrap/>
            <w:vAlign w:val="bottom"/>
            <w:hideMark/>
          </w:tcPr>
          <w:p w14:paraId="27A9156F"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0,0</w:t>
            </w:r>
          </w:p>
        </w:tc>
        <w:tc>
          <w:tcPr>
            <w:tcW w:w="859" w:type="dxa"/>
            <w:tcBorders>
              <w:top w:val="nil"/>
              <w:left w:val="nil"/>
              <w:bottom w:val="nil"/>
              <w:right w:val="single" w:sz="4" w:space="0" w:color="FFFFFF" w:themeColor="background1"/>
            </w:tcBorders>
            <w:shd w:val="clear" w:color="auto" w:fill="auto"/>
            <w:noWrap/>
            <w:vAlign w:val="bottom"/>
            <w:hideMark/>
          </w:tcPr>
          <w:p w14:paraId="1CA80D6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42,4</w:t>
            </w:r>
          </w:p>
        </w:tc>
        <w:tc>
          <w:tcPr>
            <w:tcW w:w="859" w:type="dxa"/>
            <w:tcBorders>
              <w:top w:val="nil"/>
              <w:left w:val="nil"/>
              <w:bottom w:val="nil"/>
              <w:right w:val="single" w:sz="4" w:space="0" w:color="FFFFFF" w:themeColor="background1"/>
            </w:tcBorders>
            <w:shd w:val="clear" w:color="auto" w:fill="auto"/>
            <w:noWrap/>
            <w:vAlign w:val="bottom"/>
            <w:hideMark/>
          </w:tcPr>
          <w:p w14:paraId="7618011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188,4</w:t>
            </w:r>
          </w:p>
        </w:tc>
        <w:tc>
          <w:tcPr>
            <w:tcW w:w="639" w:type="dxa"/>
            <w:tcBorders>
              <w:top w:val="nil"/>
              <w:left w:val="nil"/>
              <w:bottom w:val="nil"/>
              <w:right w:val="single" w:sz="4" w:space="0" w:color="auto"/>
            </w:tcBorders>
            <w:shd w:val="clear" w:color="auto" w:fill="auto"/>
            <w:noWrap/>
            <w:vAlign w:val="bottom"/>
            <w:hideMark/>
          </w:tcPr>
          <w:p w14:paraId="11EE97D0"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344,8</w:t>
            </w:r>
          </w:p>
        </w:tc>
        <w:tc>
          <w:tcPr>
            <w:tcW w:w="1046" w:type="dxa"/>
            <w:tcBorders>
              <w:top w:val="nil"/>
              <w:left w:val="nil"/>
              <w:bottom w:val="nil"/>
              <w:right w:val="single" w:sz="4" w:space="0" w:color="auto"/>
            </w:tcBorders>
            <w:shd w:val="clear" w:color="auto" w:fill="auto"/>
            <w:noWrap/>
            <w:vAlign w:val="bottom"/>
            <w:hideMark/>
          </w:tcPr>
          <w:p w14:paraId="0942D2EB"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w:t>
            </w:r>
          </w:p>
        </w:tc>
      </w:tr>
      <w:tr w:rsidR="00907013" w:rsidRPr="00BE68D6" w14:paraId="0E1AAFA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159546D"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Japan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B08B11D"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7F855E"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918,7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22C4D3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883,8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89A868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-3,8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26C8B3"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EE399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1.124,9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244966"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1.062,1</w:t>
            </w:r>
          </w:p>
        </w:tc>
        <w:tc>
          <w:tcPr>
            <w:tcW w:w="639" w:type="dxa"/>
            <w:tcBorders>
              <w:top w:val="nil"/>
              <w:left w:val="nil"/>
              <w:bottom w:val="single" w:sz="4" w:space="0" w:color="FFFFFF" w:themeColor="background1"/>
              <w:right w:val="nil"/>
            </w:tcBorders>
            <w:shd w:val="clear" w:color="auto" w:fill="auto"/>
            <w:noWrap/>
            <w:vAlign w:val="bottom"/>
            <w:hideMark/>
          </w:tcPr>
          <w:p w14:paraId="722084F9"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-5,6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49A4A21" w14:textId="77777777" w:rsidR="00907013" w:rsidRPr="00BE68D6" w:rsidRDefault="00907013" w:rsidP="00C07BA6">
            <w:pPr>
              <w:jc w:val="right"/>
              <w:rPr>
                <w:rFonts w:cstheme="minorHAnsi"/>
                <w:color w:val="000000"/>
                <w:sz w:val="16"/>
                <w:szCs w:val="16"/>
                <w:lang w:eastAsia="nl-BE"/>
              </w:rPr>
            </w:pPr>
            <w:r w:rsidRPr="00BE68D6">
              <w:rPr>
                <w:rFonts w:cstheme="minorHAnsi"/>
                <w:color w:val="000000"/>
                <w:sz w:val="16"/>
                <w:szCs w:val="16"/>
              </w:rPr>
              <w:t>120,2</w:t>
            </w:r>
          </w:p>
        </w:tc>
      </w:tr>
      <w:tr w:rsidR="00907013" w:rsidRPr="00BE68D6" w14:paraId="1D12CB3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tcPr>
          <w:p w14:paraId="30D06C96" w14:textId="77777777" w:rsidR="00907013" w:rsidRPr="00BE68D6" w:rsidRDefault="00907013" w:rsidP="00C07BA6">
            <w:pPr>
              <w:rPr>
                <w:rFonts w:cstheme="minorHAnsi"/>
                <w:color w:val="000000"/>
                <w:sz w:val="16"/>
                <w:szCs w:val="16"/>
                <w:lang w:eastAsia="nl-BE"/>
              </w:rPr>
            </w:pP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tcPr>
          <w:p w14:paraId="46E279B4" w14:textId="77777777" w:rsidR="00907013" w:rsidRPr="00BE68D6" w:rsidRDefault="00907013" w:rsidP="00C07BA6">
            <w:pPr>
              <w:jc w:val="right"/>
              <w:rPr>
                <w:rFonts w:cstheme="minorHAnsi"/>
                <w:color w:val="000000"/>
                <w:sz w:val="16"/>
                <w:szCs w:val="16"/>
              </w:rPr>
            </w:pPr>
          </w:p>
        </w:tc>
        <w:tc>
          <w:tcPr>
            <w:tcW w:w="980" w:type="dxa"/>
            <w:tcBorders>
              <w:top w:val="nil"/>
              <w:left w:val="nil"/>
              <w:bottom w:val="single" w:sz="4" w:space="0" w:color="FFFFFF" w:themeColor="background1"/>
              <w:right w:val="single" w:sz="4" w:space="0" w:color="FFFFFF" w:themeColor="background1"/>
            </w:tcBorders>
            <w:shd w:val="clear" w:color="auto" w:fill="auto"/>
            <w:vAlign w:val="bottom"/>
          </w:tcPr>
          <w:p w14:paraId="7963C59B" w14:textId="77777777" w:rsidR="00907013" w:rsidRPr="00BE68D6" w:rsidRDefault="00907013" w:rsidP="00C07BA6">
            <w:pPr>
              <w:jc w:val="right"/>
              <w:rPr>
                <w:rFonts w:cstheme="minorHAnsi"/>
                <w:color w:val="000000"/>
                <w:sz w:val="16"/>
                <w:szCs w:val="16"/>
              </w:rPr>
            </w:pPr>
          </w:p>
        </w:tc>
        <w:tc>
          <w:tcPr>
            <w:tcW w:w="980" w:type="dxa"/>
            <w:tcBorders>
              <w:top w:val="nil"/>
              <w:left w:val="nil"/>
              <w:bottom w:val="single" w:sz="4" w:space="0" w:color="FFFFFF" w:themeColor="background1"/>
              <w:right w:val="single" w:sz="4" w:space="0" w:color="FFFFFF" w:themeColor="background1"/>
            </w:tcBorders>
            <w:shd w:val="clear" w:color="auto" w:fill="auto"/>
            <w:vAlign w:val="bottom"/>
          </w:tcPr>
          <w:p w14:paraId="03A0B5A3" w14:textId="77777777" w:rsidR="00907013" w:rsidRPr="00BE68D6" w:rsidRDefault="00907013" w:rsidP="00C07BA6">
            <w:pPr>
              <w:jc w:val="right"/>
              <w:rPr>
                <w:rFonts w:cstheme="minorHAnsi"/>
                <w:color w:val="000000"/>
                <w:sz w:val="16"/>
                <w:szCs w:val="16"/>
              </w:rPr>
            </w:pPr>
          </w:p>
        </w:tc>
        <w:tc>
          <w:tcPr>
            <w:tcW w:w="827" w:type="dxa"/>
            <w:tcBorders>
              <w:top w:val="nil"/>
              <w:left w:val="nil"/>
              <w:bottom w:val="single" w:sz="4" w:space="0" w:color="FFFFFF" w:themeColor="background1"/>
              <w:right w:val="single" w:sz="4" w:space="0" w:color="auto"/>
            </w:tcBorders>
            <w:shd w:val="clear" w:color="auto" w:fill="auto"/>
            <w:noWrap/>
            <w:vAlign w:val="bottom"/>
          </w:tcPr>
          <w:p w14:paraId="4764D81A" w14:textId="77777777" w:rsidR="00907013" w:rsidRPr="00BE68D6" w:rsidRDefault="00907013" w:rsidP="00C07BA6">
            <w:pPr>
              <w:jc w:val="right"/>
              <w:rPr>
                <w:rFonts w:cstheme="minorHAnsi"/>
                <w:color w:val="000000"/>
                <w:sz w:val="16"/>
                <w:szCs w:val="16"/>
              </w:rPr>
            </w:pP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tcPr>
          <w:p w14:paraId="02C32588" w14:textId="77777777" w:rsidR="00907013" w:rsidRPr="00BE68D6" w:rsidRDefault="00907013" w:rsidP="00C07BA6">
            <w:pPr>
              <w:jc w:val="right"/>
              <w:rPr>
                <w:rFonts w:cstheme="minorHAnsi"/>
                <w:color w:val="000000"/>
                <w:sz w:val="16"/>
                <w:szCs w:val="16"/>
              </w:rPr>
            </w:pP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tcPr>
          <w:p w14:paraId="13837BD8" w14:textId="77777777" w:rsidR="00907013" w:rsidRPr="00BE68D6" w:rsidRDefault="00907013" w:rsidP="00C07BA6">
            <w:pPr>
              <w:jc w:val="right"/>
              <w:rPr>
                <w:rFonts w:cstheme="minorHAnsi"/>
                <w:color w:val="000000"/>
                <w:sz w:val="16"/>
                <w:szCs w:val="16"/>
              </w:rPr>
            </w:pP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tcPr>
          <w:p w14:paraId="3632D21B" w14:textId="77777777" w:rsidR="00907013" w:rsidRPr="00BE68D6" w:rsidRDefault="00907013" w:rsidP="00C07BA6">
            <w:pPr>
              <w:jc w:val="right"/>
              <w:rPr>
                <w:rFonts w:cstheme="minorHAnsi"/>
                <w:color w:val="000000"/>
                <w:sz w:val="16"/>
                <w:szCs w:val="16"/>
              </w:rPr>
            </w:pPr>
          </w:p>
        </w:tc>
        <w:tc>
          <w:tcPr>
            <w:tcW w:w="639" w:type="dxa"/>
            <w:tcBorders>
              <w:top w:val="nil"/>
              <w:left w:val="nil"/>
              <w:bottom w:val="single" w:sz="4" w:space="0" w:color="FFFFFF" w:themeColor="background1"/>
              <w:right w:val="nil"/>
            </w:tcBorders>
            <w:shd w:val="clear" w:color="auto" w:fill="auto"/>
            <w:noWrap/>
            <w:vAlign w:val="bottom"/>
          </w:tcPr>
          <w:p w14:paraId="56B32EF9" w14:textId="77777777" w:rsidR="00907013" w:rsidRPr="00BE68D6" w:rsidRDefault="00907013" w:rsidP="00C07BA6">
            <w:pPr>
              <w:jc w:val="right"/>
              <w:rPr>
                <w:rFonts w:cstheme="minorHAnsi"/>
                <w:color w:val="000000"/>
                <w:sz w:val="16"/>
                <w:szCs w:val="16"/>
              </w:rPr>
            </w:pP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tcPr>
          <w:p w14:paraId="331DE624" w14:textId="77777777" w:rsidR="00907013" w:rsidRPr="00BE68D6" w:rsidRDefault="00907013" w:rsidP="00C07BA6">
            <w:pPr>
              <w:jc w:val="right"/>
              <w:rPr>
                <w:rFonts w:cstheme="minorHAnsi"/>
                <w:color w:val="000000"/>
                <w:sz w:val="16"/>
                <w:szCs w:val="16"/>
              </w:rPr>
            </w:pPr>
          </w:p>
        </w:tc>
      </w:tr>
      <w:tr w:rsidR="00907013" w:rsidRPr="00BE68D6" w14:paraId="187D9C6A" w14:textId="77777777" w:rsidTr="00C07BA6">
        <w:tc>
          <w:tcPr>
            <w:tcW w:w="1229" w:type="dxa"/>
            <w:tcBorders>
              <w:top w:val="nil"/>
              <w:left w:val="single" w:sz="4" w:space="0" w:color="auto"/>
              <w:bottom w:val="single" w:sz="4" w:space="0" w:color="auto"/>
              <w:right w:val="single" w:sz="4" w:space="0" w:color="auto"/>
            </w:tcBorders>
            <w:shd w:val="clear" w:color="auto" w:fill="auto"/>
            <w:vAlign w:val="center"/>
            <w:hideMark/>
          </w:tcPr>
          <w:p w14:paraId="750A0804" w14:textId="77777777" w:rsidR="00907013" w:rsidRPr="00BE68D6" w:rsidRDefault="00907013" w:rsidP="00C07BA6">
            <w:pPr>
              <w:rPr>
                <w:rFonts w:cstheme="minorHAnsi"/>
                <w:color w:val="000000"/>
                <w:sz w:val="16"/>
                <w:szCs w:val="16"/>
                <w:lang w:eastAsia="nl-BE"/>
              </w:rPr>
            </w:pPr>
            <w:r>
              <w:rPr>
                <w:rFonts w:ascii="Calibri" w:hAnsi="Calibri" w:cs="Calibri"/>
                <w:color w:val="000000"/>
                <w:sz w:val="16"/>
                <w:szCs w:val="16"/>
              </w:rPr>
              <w:t>Totaal andere landen</w:t>
            </w:r>
          </w:p>
        </w:tc>
        <w:tc>
          <w:tcPr>
            <w:tcW w:w="609" w:type="dxa"/>
            <w:tcBorders>
              <w:top w:val="nil"/>
              <w:left w:val="nil"/>
              <w:bottom w:val="single" w:sz="4" w:space="0" w:color="auto"/>
              <w:right w:val="single" w:sz="4" w:space="0" w:color="FFFFFF" w:themeColor="background1"/>
            </w:tcBorders>
            <w:shd w:val="clear" w:color="auto" w:fill="auto"/>
            <w:vAlign w:val="center"/>
            <w:hideMark/>
          </w:tcPr>
          <w:p w14:paraId="1CE26CE7"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0,6</w:t>
            </w:r>
          </w:p>
        </w:tc>
        <w:tc>
          <w:tcPr>
            <w:tcW w:w="980" w:type="dxa"/>
            <w:tcBorders>
              <w:top w:val="nil"/>
              <w:left w:val="nil"/>
              <w:bottom w:val="single" w:sz="4" w:space="0" w:color="auto"/>
              <w:right w:val="single" w:sz="4" w:space="0" w:color="FFFFFF" w:themeColor="background1"/>
            </w:tcBorders>
            <w:shd w:val="clear" w:color="auto" w:fill="auto"/>
            <w:vAlign w:val="center"/>
            <w:hideMark/>
          </w:tcPr>
          <w:p w14:paraId="35789FAD"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17.795,58</w:t>
            </w:r>
          </w:p>
        </w:tc>
        <w:tc>
          <w:tcPr>
            <w:tcW w:w="980" w:type="dxa"/>
            <w:tcBorders>
              <w:top w:val="nil"/>
              <w:left w:val="nil"/>
              <w:bottom w:val="single" w:sz="4" w:space="0" w:color="auto"/>
              <w:right w:val="single" w:sz="4" w:space="0" w:color="FFFFFF" w:themeColor="background1"/>
            </w:tcBorders>
            <w:shd w:val="clear" w:color="auto" w:fill="auto"/>
            <w:vAlign w:val="center"/>
            <w:hideMark/>
          </w:tcPr>
          <w:p w14:paraId="6F928DCE"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11.315,82</w:t>
            </w:r>
          </w:p>
        </w:tc>
        <w:tc>
          <w:tcPr>
            <w:tcW w:w="827" w:type="dxa"/>
            <w:tcBorders>
              <w:top w:val="nil"/>
              <w:left w:val="nil"/>
              <w:bottom w:val="single" w:sz="4" w:space="0" w:color="auto"/>
              <w:right w:val="single" w:sz="4" w:space="0" w:color="auto"/>
            </w:tcBorders>
            <w:shd w:val="clear" w:color="auto" w:fill="auto"/>
            <w:noWrap/>
            <w:vAlign w:val="center"/>
            <w:hideMark/>
          </w:tcPr>
          <w:p w14:paraId="64570F7F"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-36,4</w:t>
            </w:r>
          </w:p>
        </w:tc>
        <w:tc>
          <w:tcPr>
            <w:tcW w:w="786"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7AFA581F"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0,1</w:t>
            </w:r>
          </w:p>
        </w:tc>
        <w:tc>
          <w:tcPr>
            <w:tcW w:w="859" w:type="dxa"/>
            <w:tcBorders>
              <w:top w:val="nil"/>
              <w:left w:val="nil"/>
              <w:bottom w:val="single" w:sz="4" w:space="0" w:color="auto"/>
              <w:right w:val="single" w:sz="4" w:space="0" w:color="FFFFFF" w:themeColor="background1"/>
            </w:tcBorders>
            <w:shd w:val="clear" w:color="auto" w:fill="auto"/>
            <w:vAlign w:val="center"/>
            <w:hideMark/>
          </w:tcPr>
          <w:p w14:paraId="7113870F"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23.062,53</w:t>
            </w:r>
          </w:p>
        </w:tc>
        <w:tc>
          <w:tcPr>
            <w:tcW w:w="859" w:type="dxa"/>
            <w:tcBorders>
              <w:top w:val="nil"/>
              <w:left w:val="nil"/>
              <w:bottom w:val="single" w:sz="4" w:space="0" w:color="auto"/>
              <w:right w:val="single" w:sz="4" w:space="0" w:color="FFFFFF" w:themeColor="background1"/>
            </w:tcBorders>
            <w:shd w:val="clear" w:color="auto" w:fill="auto"/>
            <w:vAlign w:val="center"/>
            <w:hideMark/>
          </w:tcPr>
          <w:p w14:paraId="15313693"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17751,53</w:t>
            </w:r>
          </w:p>
        </w:tc>
        <w:tc>
          <w:tcPr>
            <w:tcW w:w="639" w:type="dxa"/>
            <w:tcBorders>
              <w:top w:val="nil"/>
              <w:left w:val="nil"/>
              <w:bottom w:val="single" w:sz="4" w:space="0" w:color="auto"/>
              <w:right w:val="nil"/>
            </w:tcBorders>
            <w:shd w:val="clear" w:color="auto" w:fill="auto"/>
            <w:noWrap/>
            <w:vAlign w:val="center"/>
            <w:hideMark/>
          </w:tcPr>
          <w:p w14:paraId="1C075D14" w14:textId="77777777" w:rsidR="00907013" w:rsidRPr="00BE68D6" w:rsidRDefault="00907013" w:rsidP="00C07BA6">
            <w:pPr>
              <w:jc w:val="right"/>
              <w:rPr>
                <w:rFonts w:cstheme="minorHAnsi"/>
                <w:color w:val="000000"/>
                <w:sz w:val="16"/>
                <w:szCs w:val="16"/>
                <w:lang w:eastAsia="nl-BE"/>
              </w:rPr>
            </w:pPr>
            <w:r>
              <w:rPr>
                <w:rFonts w:ascii="Calibri" w:hAnsi="Calibri" w:cs="Calibri"/>
                <w:color w:val="000000"/>
                <w:sz w:val="16"/>
                <w:szCs w:val="16"/>
              </w:rPr>
              <w:t>-23,0%</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618A7A2B" w14:textId="77777777" w:rsidR="00907013" w:rsidRPr="00BE68D6" w:rsidRDefault="00907013" w:rsidP="00C07BA6">
            <w:pPr>
              <w:jc w:val="right"/>
              <w:rPr>
                <w:color w:val="000000"/>
                <w:sz w:val="16"/>
                <w:szCs w:val="16"/>
                <w:lang w:eastAsia="nl-BE"/>
              </w:rPr>
            </w:pPr>
            <w:r w:rsidRPr="5F658A52">
              <w:rPr>
                <w:rFonts w:ascii="Calibri" w:hAnsi="Calibri" w:cs="Calibri"/>
                <w:color w:val="000000" w:themeColor="text1"/>
                <w:sz w:val="16"/>
                <w:szCs w:val="16"/>
              </w:rPr>
              <w:t>156,9</w:t>
            </w:r>
          </w:p>
        </w:tc>
      </w:tr>
      <w:tr w:rsidR="00907013" w:rsidRPr="00BE68D6" w14:paraId="6E6904F6" w14:textId="77777777" w:rsidTr="00C07BA6">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5E64B5A" w14:textId="77777777" w:rsidR="00907013" w:rsidRPr="00BE68D6" w:rsidRDefault="00907013" w:rsidP="00C07BA6">
            <w:pPr>
              <w:rPr>
                <w:rFonts w:cstheme="minorHAnsi"/>
                <w:b/>
                <w:bCs/>
                <w:color w:val="000000"/>
                <w:sz w:val="16"/>
                <w:szCs w:val="16"/>
                <w:lang w:eastAsia="nl-BE"/>
              </w:rPr>
            </w:pPr>
            <w:r>
              <w:rPr>
                <w:rFonts w:ascii="Calibri" w:hAnsi="Calibri" w:cs="Calibri"/>
                <w:b/>
                <w:bCs/>
                <w:color w:val="000000"/>
                <w:sz w:val="16"/>
                <w:szCs w:val="16"/>
              </w:rPr>
              <w:t>Totaal</w:t>
            </w:r>
          </w:p>
        </w:tc>
        <w:tc>
          <w:tcPr>
            <w:tcW w:w="609" w:type="dxa"/>
            <w:tcBorders>
              <w:top w:val="nil"/>
              <w:left w:val="nil"/>
              <w:bottom w:val="single" w:sz="4" w:space="0" w:color="auto"/>
              <w:right w:val="nil"/>
            </w:tcBorders>
            <w:shd w:val="clear" w:color="auto" w:fill="auto"/>
            <w:noWrap/>
            <w:vAlign w:val="center"/>
            <w:hideMark/>
          </w:tcPr>
          <w:p w14:paraId="0EE5820E"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100</w:t>
            </w:r>
          </w:p>
        </w:tc>
        <w:tc>
          <w:tcPr>
            <w:tcW w:w="980" w:type="dxa"/>
            <w:tcBorders>
              <w:top w:val="nil"/>
              <w:left w:val="nil"/>
              <w:bottom w:val="single" w:sz="4" w:space="0" w:color="auto"/>
              <w:right w:val="nil"/>
            </w:tcBorders>
            <w:shd w:val="clear" w:color="auto" w:fill="auto"/>
            <w:noWrap/>
            <w:vAlign w:val="center"/>
            <w:hideMark/>
          </w:tcPr>
          <w:p w14:paraId="15BB1C12"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1.475.159,18</w:t>
            </w:r>
          </w:p>
        </w:tc>
        <w:tc>
          <w:tcPr>
            <w:tcW w:w="980" w:type="dxa"/>
            <w:tcBorders>
              <w:top w:val="nil"/>
              <w:left w:val="nil"/>
              <w:bottom w:val="single" w:sz="4" w:space="0" w:color="auto"/>
              <w:right w:val="nil"/>
            </w:tcBorders>
            <w:shd w:val="clear" w:color="auto" w:fill="auto"/>
            <w:noWrap/>
            <w:vAlign w:val="center"/>
            <w:hideMark/>
          </w:tcPr>
          <w:p w14:paraId="46308EDE"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1.218.932,42</w:t>
            </w:r>
          </w:p>
        </w:tc>
        <w:tc>
          <w:tcPr>
            <w:tcW w:w="827" w:type="dxa"/>
            <w:tcBorders>
              <w:top w:val="nil"/>
              <w:left w:val="nil"/>
              <w:bottom w:val="single" w:sz="4" w:space="0" w:color="auto"/>
              <w:right w:val="single" w:sz="4" w:space="0" w:color="auto"/>
            </w:tcBorders>
            <w:shd w:val="clear" w:color="auto" w:fill="auto"/>
            <w:noWrap/>
            <w:vAlign w:val="center"/>
            <w:hideMark/>
          </w:tcPr>
          <w:p w14:paraId="4FE5BA8E" w14:textId="77777777" w:rsidR="00907013" w:rsidRPr="00BE68D6" w:rsidRDefault="00907013" w:rsidP="00C07BA6">
            <w:pPr>
              <w:jc w:val="right"/>
              <w:rPr>
                <w:rFonts w:ascii="Calibri" w:eastAsia="Calibri" w:hAnsi="Calibri" w:cs="Calibri"/>
                <w:sz w:val="16"/>
                <w:szCs w:val="16"/>
              </w:rPr>
            </w:pPr>
            <w:r w:rsidRPr="5F658A52">
              <w:rPr>
                <w:rFonts w:ascii="Calibri" w:hAnsi="Calibri" w:cs="Calibri"/>
                <w:b/>
                <w:bCs/>
                <w:color w:val="000000" w:themeColor="text1"/>
                <w:sz w:val="16"/>
                <w:szCs w:val="16"/>
              </w:rPr>
              <w:t>-17,4</w:t>
            </w:r>
          </w:p>
        </w:tc>
        <w:tc>
          <w:tcPr>
            <w:tcW w:w="786" w:type="dxa"/>
            <w:tcBorders>
              <w:top w:val="nil"/>
              <w:left w:val="nil"/>
              <w:bottom w:val="single" w:sz="4" w:space="0" w:color="auto"/>
              <w:right w:val="nil"/>
            </w:tcBorders>
            <w:shd w:val="clear" w:color="auto" w:fill="auto"/>
            <w:noWrap/>
            <w:vAlign w:val="center"/>
            <w:hideMark/>
          </w:tcPr>
          <w:p w14:paraId="3B32C69B"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100</w:t>
            </w:r>
          </w:p>
        </w:tc>
        <w:tc>
          <w:tcPr>
            <w:tcW w:w="859" w:type="dxa"/>
            <w:tcBorders>
              <w:top w:val="nil"/>
              <w:left w:val="nil"/>
              <w:bottom w:val="single" w:sz="4" w:space="0" w:color="auto"/>
              <w:right w:val="nil"/>
            </w:tcBorders>
            <w:shd w:val="clear" w:color="auto" w:fill="auto"/>
            <w:noWrap/>
            <w:vAlign w:val="center"/>
            <w:hideMark/>
          </w:tcPr>
          <w:p w14:paraId="25FA0D2A"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913.205,53</w:t>
            </w:r>
          </w:p>
        </w:tc>
        <w:tc>
          <w:tcPr>
            <w:tcW w:w="859" w:type="dxa"/>
            <w:tcBorders>
              <w:top w:val="nil"/>
              <w:left w:val="nil"/>
              <w:bottom w:val="single" w:sz="4" w:space="0" w:color="auto"/>
              <w:right w:val="nil"/>
            </w:tcBorders>
            <w:shd w:val="clear" w:color="auto" w:fill="auto"/>
            <w:noWrap/>
            <w:vAlign w:val="center"/>
            <w:hideMark/>
          </w:tcPr>
          <w:p w14:paraId="04D7CA78"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801.878,33</w:t>
            </w:r>
          </w:p>
        </w:tc>
        <w:tc>
          <w:tcPr>
            <w:tcW w:w="639" w:type="dxa"/>
            <w:tcBorders>
              <w:top w:val="nil"/>
              <w:left w:val="nil"/>
              <w:bottom w:val="single" w:sz="4" w:space="0" w:color="auto"/>
              <w:right w:val="single" w:sz="4" w:space="0" w:color="auto"/>
            </w:tcBorders>
            <w:shd w:val="clear" w:color="auto" w:fill="auto"/>
            <w:noWrap/>
            <w:vAlign w:val="center"/>
            <w:hideMark/>
          </w:tcPr>
          <w:p w14:paraId="657F18A3"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-12,2</w:t>
            </w:r>
          </w:p>
        </w:tc>
        <w:tc>
          <w:tcPr>
            <w:tcW w:w="1046" w:type="dxa"/>
            <w:tcBorders>
              <w:top w:val="nil"/>
              <w:left w:val="nil"/>
              <w:bottom w:val="single" w:sz="4" w:space="0" w:color="auto"/>
              <w:right w:val="single" w:sz="4" w:space="0" w:color="auto"/>
            </w:tcBorders>
            <w:shd w:val="clear" w:color="auto" w:fill="auto"/>
            <w:noWrap/>
            <w:vAlign w:val="center"/>
            <w:hideMark/>
          </w:tcPr>
          <w:p w14:paraId="57E10426" w14:textId="77777777" w:rsidR="00907013" w:rsidRPr="00BE68D6" w:rsidRDefault="00907013" w:rsidP="00C07BA6">
            <w:pPr>
              <w:jc w:val="right"/>
              <w:rPr>
                <w:rFonts w:cstheme="minorHAnsi"/>
                <w:b/>
                <w:bCs/>
                <w:color w:val="000000"/>
                <w:sz w:val="16"/>
                <w:szCs w:val="16"/>
                <w:lang w:eastAsia="nl-BE"/>
              </w:rPr>
            </w:pPr>
            <w:r>
              <w:rPr>
                <w:rFonts w:ascii="Calibri" w:hAnsi="Calibri" w:cs="Calibri"/>
                <w:b/>
                <w:bCs/>
                <w:color w:val="000000"/>
                <w:sz w:val="16"/>
                <w:szCs w:val="16"/>
              </w:rPr>
              <w:t>65,8</w:t>
            </w:r>
          </w:p>
        </w:tc>
      </w:tr>
      <w:tr w:rsidR="00907013" w:rsidRPr="00BE68D6" w14:paraId="1A50A692" w14:textId="77777777" w:rsidTr="00C07BA6">
        <w:tc>
          <w:tcPr>
            <w:tcW w:w="1229" w:type="dxa"/>
            <w:tcBorders>
              <w:top w:val="nil"/>
              <w:left w:val="nil"/>
              <w:bottom w:val="nil"/>
              <w:right w:val="nil"/>
            </w:tcBorders>
            <w:shd w:val="clear" w:color="auto" w:fill="auto"/>
            <w:noWrap/>
            <w:vAlign w:val="bottom"/>
            <w:hideMark/>
          </w:tcPr>
          <w:p w14:paraId="4DF0456E" w14:textId="77777777" w:rsidR="00907013" w:rsidRPr="00BE68D6" w:rsidRDefault="00907013" w:rsidP="00C07BA6">
            <w:pPr>
              <w:rPr>
                <w:rFonts w:cstheme="minorHAnsi"/>
                <w:color w:val="000000"/>
                <w:sz w:val="16"/>
                <w:szCs w:val="16"/>
                <w:lang w:eastAsia="nl-BE"/>
              </w:rPr>
            </w:pPr>
            <w:r w:rsidRPr="00BE68D6">
              <w:rPr>
                <w:rFonts w:cstheme="minorHAnsi"/>
                <w:color w:val="000000"/>
                <w:sz w:val="16"/>
                <w:szCs w:val="16"/>
                <w:lang w:eastAsia="nl-BE"/>
              </w:rPr>
              <w:t>Bron : INR</w:t>
            </w:r>
          </w:p>
        </w:tc>
        <w:tc>
          <w:tcPr>
            <w:tcW w:w="609" w:type="dxa"/>
            <w:tcBorders>
              <w:top w:val="nil"/>
              <w:left w:val="nil"/>
              <w:bottom w:val="nil"/>
              <w:right w:val="nil"/>
            </w:tcBorders>
            <w:shd w:val="clear" w:color="auto" w:fill="auto"/>
            <w:noWrap/>
            <w:vAlign w:val="bottom"/>
            <w:hideMark/>
          </w:tcPr>
          <w:p w14:paraId="15A474BD" w14:textId="77777777" w:rsidR="00907013" w:rsidRPr="00BE68D6" w:rsidRDefault="00907013" w:rsidP="00C07BA6">
            <w:pPr>
              <w:rPr>
                <w:rFonts w:cstheme="minorHAnsi"/>
                <w:color w:val="000000"/>
                <w:sz w:val="16"/>
                <w:szCs w:val="16"/>
                <w:lang w:eastAsia="nl-BE"/>
              </w:rPr>
            </w:pPr>
          </w:p>
        </w:tc>
        <w:tc>
          <w:tcPr>
            <w:tcW w:w="980" w:type="dxa"/>
            <w:tcBorders>
              <w:top w:val="nil"/>
              <w:left w:val="nil"/>
              <w:bottom w:val="nil"/>
              <w:right w:val="nil"/>
            </w:tcBorders>
            <w:shd w:val="clear" w:color="auto" w:fill="auto"/>
            <w:noWrap/>
            <w:vAlign w:val="bottom"/>
            <w:hideMark/>
          </w:tcPr>
          <w:p w14:paraId="611F4017" w14:textId="77777777" w:rsidR="00907013" w:rsidRPr="00BE68D6" w:rsidRDefault="00907013" w:rsidP="00C07BA6">
            <w:pPr>
              <w:rPr>
                <w:rFonts w:cstheme="minorHAnsi"/>
                <w:sz w:val="16"/>
                <w:szCs w:val="16"/>
                <w:lang w:eastAsia="nl-BE"/>
              </w:rPr>
            </w:pPr>
          </w:p>
        </w:tc>
        <w:tc>
          <w:tcPr>
            <w:tcW w:w="980" w:type="dxa"/>
            <w:tcBorders>
              <w:top w:val="nil"/>
              <w:left w:val="nil"/>
              <w:bottom w:val="nil"/>
              <w:right w:val="nil"/>
            </w:tcBorders>
            <w:shd w:val="clear" w:color="auto" w:fill="auto"/>
            <w:noWrap/>
            <w:vAlign w:val="bottom"/>
            <w:hideMark/>
          </w:tcPr>
          <w:p w14:paraId="06EA8C7F" w14:textId="77777777" w:rsidR="00907013" w:rsidRPr="00BE68D6" w:rsidRDefault="00907013" w:rsidP="00C07BA6">
            <w:pPr>
              <w:rPr>
                <w:rFonts w:cstheme="minorHAnsi"/>
                <w:sz w:val="16"/>
                <w:szCs w:val="16"/>
                <w:lang w:eastAsia="nl-BE"/>
              </w:rPr>
            </w:pPr>
          </w:p>
        </w:tc>
        <w:tc>
          <w:tcPr>
            <w:tcW w:w="827" w:type="dxa"/>
            <w:tcBorders>
              <w:top w:val="nil"/>
              <w:left w:val="nil"/>
              <w:bottom w:val="nil"/>
              <w:right w:val="nil"/>
            </w:tcBorders>
            <w:shd w:val="clear" w:color="auto" w:fill="auto"/>
            <w:noWrap/>
            <w:vAlign w:val="bottom"/>
            <w:hideMark/>
          </w:tcPr>
          <w:p w14:paraId="6F1CAB51" w14:textId="77777777" w:rsidR="00907013" w:rsidRPr="00BE68D6" w:rsidRDefault="00907013" w:rsidP="00C07BA6">
            <w:pPr>
              <w:rPr>
                <w:rFonts w:cstheme="minorHAnsi"/>
                <w:sz w:val="16"/>
                <w:szCs w:val="16"/>
                <w:lang w:eastAsia="nl-BE"/>
              </w:rPr>
            </w:pPr>
          </w:p>
        </w:tc>
        <w:tc>
          <w:tcPr>
            <w:tcW w:w="786" w:type="dxa"/>
            <w:tcBorders>
              <w:top w:val="nil"/>
              <w:left w:val="nil"/>
              <w:bottom w:val="nil"/>
              <w:right w:val="nil"/>
            </w:tcBorders>
            <w:shd w:val="clear" w:color="auto" w:fill="auto"/>
            <w:noWrap/>
            <w:vAlign w:val="bottom"/>
            <w:hideMark/>
          </w:tcPr>
          <w:p w14:paraId="39E531B2" w14:textId="77777777" w:rsidR="00907013" w:rsidRPr="00BE68D6" w:rsidRDefault="00907013" w:rsidP="00C07BA6">
            <w:pPr>
              <w:rPr>
                <w:rFonts w:cstheme="minorHAnsi"/>
                <w:sz w:val="16"/>
                <w:szCs w:val="16"/>
                <w:lang w:eastAsia="nl-BE"/>
              </w:rPr>
            </w:pPr>
          </w:p>
        </w:tc>
        <w:tc>
          <w:tcPr>
            <w:tcW w:w="859" w:type="dxa"/>
            <w:tcBorders>
              <w:top w:val="nil"/>
              <w:left w:val="nil"/>
              <w:bottom w:val="nil"/>
              <w:right w:val="nil"/>
            </w:tcBorders>
            <w:shd w:val="clear" w:color="auto" w:fill="auto"/>
            <w:noWrap/>
            <w:vAlign w:val="bottom"/>
            <w:hideMark/>
          </w:tcPr>
          <w:p w14:paraId="28B04977" w14:textId="77777777" w:rsidR="00907013" w:rsidRPr="00BE68D6" w:rsidRDefault="00907013" w:rsidP="00C07BA6">
            <w:pPr>
              <w:rPr>
                <w:rFonts w:cstheme="minorHAnsi"/>
                <w:sz w:val="16"/>
                <w:szCs w:val="16"/>
                <w:lang w:eastAsia="nl-BE"/>
              </w:rPr>
            </w:pPr>
          </w:p>
        </w:tc>
        <w:tc>
          <w:tcPr>
            <w:tcW w:w="859" w:type="dxa"/>
            <w:tcBorders>
              <w:top w:val="nil"/>
              <w:left w:val="nil"/>
              <w:bottom w:val="nil"/>
              <w:right w:val="nil"/>
            </w:tcBorders>
            <w:shd w:val="clear" w:color="auto" w:fill="auto"/>
            <w:noWrap/>
            <w:vAlign w:val="bottom"/>
            <w:hideMark/>
          </w:tcPr>
          <w:p w14:paraId="0DFF1EDE" w14:textId="77777777" w:rsidR="00907013" w:rsidRPr="00BE68D6" w:rsidRDefault="00907013" w:rsidP="00C07BA6">
            <w:pPr>
              <w:rPr>
                <w:rFonts w:cstheme="minorHAnsi"/>
                <w:sz w:val="16"/>
                <w:szCs w:val="16"/>
                <w:lang w:eastAsia="nl-BE"/>
              </w:rPr>
            </w:pPr>
          </w:p>
        </w:tc>
        <w:tc>
          <w:tcPr>
            <w:tcW w:w="639" w:type="dxa"/>
            <w:tcBorders>
              <w:top w:val="nil"/>
              <w:left w:val="nil"/>
              <w:bottom w:val="nil"/>
              <w:right w:val="nil"/>
            </w:tcBorders>
            <w:shd w:val="clear" w:color="auto" w:fill="auto"/>
            <w:noWrap/>
            <w:vAlign w:val="bottom"/>
            <w:hideMark/>
          </w:tcPr>
          <w:p w14:paraId="0F4FECD0" w14:textId="77777777" w:rsidR="00907013" w:rsidRPr="00BE68D6" w:rsidRDefault="00907013" w:rsidP="00C07BA6">
            <w:pPr>
              <w:rPr>
                <w:rFonts w:cstheme="minorHAnsi"/>
                <w:sz w:val="16"/>
                <w:szCs w:val="16"/>
                <w:lang w:eastAsia="nl-BE"/>
              </w:rPr>
            </w:pPr>
          </w:p>
        </w:tc>
        <w:tc>
          <w:tcPr>
            <w:tcW w:w="1046" w:type="dxa"/>
            <w:tcBorders>
              <w:top w:val="nil"/>
              <w:left w:val="nil"/>
              <w:bottom w:val="nil"/>
              <w:right w:val="nil"/>
            </w:tcBorders>
            <w:shd w:val="clear" w:color="auto" w:fill="auto"/>
            <w:noWrap/>
            <w:vAlign w:val="bottom"/>
            <w:hideMark/>
          </w:tcPr>
          <w:p w14:paraId="083CA9F4" w14:textId="77777777" w:rsidR="00907013" w:rsidRPr="00BE68D6" w:rsidRDefault="00907013" w:rsidP="00C07BA6">
            <w:pPr>
              <w:rPr>
                <w:rFonts w:cstheme="minorHAnsi"/>
                <w:sz w:val="16"/>
                <w:szCs w:val="16"/>
                <w:lang w:eastAsia="nl-BE"/>
              </w:rPr>
            </w:pPr>
          </w:p>
        </w:tc>
      </w:tr>
    </w:tbl>
    <w:p w14:paraId="2312F9F8" w14:textId="77777777" w:rsidR="00907013" w:rsidRPr="00AC7C2C" w:rsidRDefault="00907013" w:rsidP="00907013">
      <w:pPr>
        <w:spacing w:line="257" w:lineRule="auto"/>
        <w:jc w:val="both"/>
        <w:rPr>
          <w:rFonts w:ascii="Calibri" w:eastAsia="Calibri" w:hAnsi="Calibri" w:cs="Calibri"/>
          <w:b/>
          <w:bCs/>
          <w:u w:val="single"/>
        </w:rPr>
      </w:pPr>
    </w:p>
    <w:p w14:paraId="319CD7A5" w14:textId="77777777" w:rsidR="00907013" w:rsidRPr="008822DC" w:rsidRDefault="00907013" w:rsidP="00907013">
      <w:pPr>
        <w:spacing w:line="257" w:lineRule="auto"/>
        <w:jc w:val="both"/>
        <w:rPr>
          <w:rFonts w:ascii="Calibri" w:eastAsia="Calibri" w:hAnsi="Calibri" w:cs="Calibri"/>
          <w:b/>
          <w:bCs/>
          <w:u w:val="single"/>
        </w:rPr>
      </w:pPr>
      <w:r w:rsidRPr="008822DC">
        <w:rPr>
          <w:rFonts w:ascii="Calibri" w:eastAsia="Calibri" w:hAnsi="Calibri" w:cs="Calibri"/>
          <w:b/>
          <w:bCs/>
          <w:u w:val="single"/>
        </w:rPr>
        <w:t>Nog niet dadelijk licht aan het einde van de tunnel</w:t>
      </w:r>
    </w:p>
    <w:p w14:paraId="6909AAF5" w14:textId="77777777" w:rsidR="00907013" w:rsidRPr="008822DC" w:rsidRDefault="00907013" w:rsidP="00907013">
      <w:pPr>
        <w:spacing w:line="257" w:lineRule="auto"/>
        <w:jc w:val="both"/>
        <w:rPr>
          <w:rFonts w:ascii="Calibri" w:eastAsia="Calibri" w:hAnsi="Calibri" w:cs="Calibri"/>
        </w:rPr>
      </w:pPr>
    </w:p>
    <w:p w14:paraId="32F066ED" w14:textId="77777777" w:rsidR="00907013" w:rsidRPr="00907013" w:rsidRDefault="00907013" w:rsidP="00907013">
      <w:pPr>
        <w:spacing w:line="257" w:lineRule="auto"/>
        <w:jc w:val="both"/>
        <w:rPr>
          <w:rFonts w:ascii="Calibri" w:eastAsia="Calibri" w:hAnsi="Calibri" w:cs="Calibri"/>
          <w:lang w:val="nl-BE"/>
        </w:rPr>
      </w:pPr>
      <w:r w:rsidRPr="00907013">
        <w:rPr>
          <w:rFonts w:ascii="Calibri" w:eastAsia="Calibri" w:hAnsi="Calibri" w:cs="Calibri"/>
          <w:lang w:val="nl-BE"/>
        </w:rPr>
        <w:t>In de nasleep van de energiecrisis en de hoge inflatie verhoogden de centrale banken hun belangrijkste rentevoeten na een lange periode van nul- of negatieve rente met de bedoeling de hoge vlucht van de inflatie te temperen. Dit lukte maar gedeeltelijk en leidde tot hogere rentevoeten voor bedrijven en consumenten. Bouwen werd daardoor een stuk duurder, en dit heeft ook zijn weerslag op de meubelsector. Minder nieuwe gebouwen betekent nu eenmaal minder nieuwe inrichtingen en interieurs/exterieurs die bovendien pas op het einde van het bouwproces komen.</w:t>
      </w:r>
    </w:p>
    <w:p w14:paraId="4BA9577B" w14:textId="77777777" w:rsidR="00907013" w:rsidRPr="00907013" w:rsidRDefault="00907013" w:rsidP="00907013">
      <w:pPr>
        <w:spacing w:line="257" w:lineRule="auto"/>
        <w:jc w:val="both"/>
        <w:rPr>
          <w:rFonts w:ascii="Calibri" w:eastAsia="Calibri" w:hAnsi="Calibri" w:cs="Calibri"/>
          <w:lang w:val="nl-BE"/>
        </w:rPr>
      </w:pPr>
    </w:p>
    <w:p w14:paraId="3A8DEB2A" w14:textId="77777777" w:rsidR="00907013" w:rsidRPr="00907013" w:rsidRDefault="00907013" w:rsidP="00907013">
      <w:pPr>
        <w:spacing w:line="257" w:lineRule="auto"/>
        <w:jc w:val="both"/>
        <w:rPr>
          <w:rFonts w:ascii="Calibri" w:eastAsia="Calibri" w:hAnsi="Calibri" w:cs="Calibri"/>
          <w:lang w:val="nl-BE"/>
        </w:rPr>
      </w:pPr>
      <w:r w:rsidRPr="00907013">
        <w:rPr>
          <w:rFonts w:ascii="Calibri" w:eastAsia="Calibri" w:hAnsi="Calibri" w:cs="Calibri"/>
          <w:lang w:val="nl-BE"/>
        </w:rPr>
        <w:t>De recente opflakkering van het geweld in het Midden-Oosten zorgt intussen voor hernieuwde spanning op de energiemarkten en leidt tot verdere onzekerheid van zowel consumenten en producenten. Die laatsten verwachten niet dadelijk een heropleving van de meubelconjunctuur en richten hun pijlen nu op 2024 en 2025.</w:t>
      </w:r>
    </w:p>
    <w:p w14:paraId="71839028" w14:textId="77777777" w:rsidR="00907013" w:rsidRPr="00907013" w:rsidRDefault="00907013" w:rsidP="00907013">
      <w:pPr>
        <w:spacing w:line="257" w:lineRule="auto"/>
        <w:jc w:val="both"/>
        <w:rPr>
          <w:rFonts w:ascii="Calibri" w:eastAsia="Calibri" w:hAnsi="Calibri" w:cs="Calibri"/>
          <w:lang w:val="nl-BE"/>
        </w:rPr>
      </w:pPr>
    </w:p>
    <w:p w14:paraId="5F3E4FEE" w14:textId="77777777" w:rsidR="00907013" w:rsidRPr="00907013" w:rsidRDefault="00907013" w:rsidP="00907013">
      <w:pPr>
        <w:spacing w:line="257" w:lineRule="auto"/>
        <w:jc w:val="both"/>
        <w:rPr>
          <w:rFonts w:ascii="Calibri" w:eastAsia="Calibri" w:hAnsi="Calibri" w:cs="Calibri"/>
          <w:lang w:val="nl-BE"/>
        </w:rPr>
      </w:pPr>
      <w:r w:rsidRPr="00907013">
        <w:rPr>
          <w:rFonts w:ascii="Calibri" w:eastAsia="Calibri" w:hAnsi="Calibri" w:cs="Calibri"/>
          <w:lang w:val="nl-BE"/>
        </w:rPr>
        <w:t>Toch blijven ze niet bij de pakken zitten en werken ze hard aan hun eigen toekomst met een focus op productontwikkeling, design en innovatie waarbij de uitdagingen gesteld door de European Green Deal gericht op circulariteit en duurzaamheid niet uit de weg worden gegaan.</w:t>
      </w:r>
    </w:p>
    <w:p w14:paraId="748D51F9" w14:textId="77777777" w:rsidR="00907013" w:rsidRPr="00907013" w:rsidRDefault="00907013" w:rsidP="00907013">
      <w:pPr>
        <w:spacing w:line="257" w:lineRule="auto"/>
        <w:jc w:val="both"/>
        <w:rPr>
          <w:rFonts w:ascii="Calibri" w:eastAsia="Calibri" w:hAnsi="Calibri" w:cs="Calibri"/>
          <w:lang w:val="nl-BE"/>
        </w:rPr>
      </w:pPr>
    </w:p>
    <w:p w14:paraId="6C8EA89A" w14:textId="77777777" w:rsidR="00907013" w:rsidRPr="00907013" w:rsidRDefault="00907013" w:rsidP="00907013">
      <w:pPr>
        <w:spacing w:line="257" w:lineRule="auto"/>
        <w:jc w:val="both"/>
        <w:rPr>
          <w:rFonts w:ascii="Calibri" w:eastAsia="Calibri" w:hAnsi="Calibri" w:cs="Calibri"/>
          <w:lang w:val="nl-BE"/>
        </w:rPr>
      </w:pPr>
      <w:r w:rsidRPr="00907013">
        <w:rPr>
          <w:rFonts w:ascii="Calibri" w:eastAsia="Calibri" w:hAnsi="Calibri" w:cs="Calibri"/>
          <w:lang w:val="nl-BE"/>
        </w:rPr>
        <w:t>Fedustria begeleidt haar lidbedrijven in dit proces en lanceerde dit jaar bovendien ook een project om jongeren warm te maken voor een opleiding en job in de hout- en meubelsectoren.</w:t>
      </w:r>
    </w:p>
    <w:p w14:paraId="37E7128F" w14:textId="77777777" w:rsidR="00907013" w:rsidRPr="00907013" w:rsidRDefault="00907013" w:rsidP="00907013">
      <w:pPr>
        <w:spacing w:line="257" w:lineRule="auto"/>
        <w:jc w:val="both"/>
        <w:rPr>
          <w:rFonts w:ascii="Calibri" w:eastAsia="Calibri" w:hAnsi="Calibri" w:cs="Calibri"/>
          <w:lang w:val="nl-BE"/>
        </w:rPr>
      </w:pPr>
    </w:p>
    <w:p w14:paraId="36BFC01B" w14:textId="77777777" w:rsidR="00907013" w:rsidRDefault="00907013" w:rsidP="00907013">
      <w:pPr>
        <w:pStyle w:val="Heading2"/>
        <w:keepNext w:val="0"/>
        <w:widowControl w:val="0"/>
        <w:shd w:val="clear" w:color="auto" w:fill="FFFFFF"/>
        <w:rPr>
          <w:rFonts w:ascii="Arial" w:hAnsi="Arial" w:cs="Arial"/>
          <w:noProof w:val="0"/>
          <w:color w:val="202124"/>
          <w:lang w:eastAsia="nl-BE"/>
        </w:rPr>
      </w:pPr>
      <w:r w:rsidRPr="4A2E2FB5">
        <w:rPr>
          <w:rFonts w:asciiTheme="minorHAnsi" w:hAnsiTheme="minorHAnsi" w:cstheme="minorBidi"/>
          <w:sz w:val="22"/>
          <w:szCs w:val="22"/>
        </w:rPr>
        <w:t>Daarnaast staat de federatie haar leden bij in hun promotie- en exportactiviteiten door het organiseren van groepsstanden en prospectiereizen in het buitenland. Dit laatste vaak in samenwerking met FIT,</w:t>
      </w:r>
      <w:r>
        <w:rPr>
          <w:rFonts w:asciiTheme="minorHAnsi" w:hAnsiTheme="minorHAnsi" w:cstheme="minorBidi"/>
          <w:sz w:val="22"/>
          <w:szCs w:val="22"/>
        </w:rPr>
        <w:t xml:space="preserve"> Flanders Investment &amp; Trade</w:t>
      </w:r>
      <w:r w:rsidRPr="4A2E2FB5">
        <w:rPr>
          <w:rFonts w:asciiTheme="minorHAnsi" w:hAnsiTheme="minorHAnsi" w:cstheme="minorBidi"/>
          <w:sz w:val="22"/>
          <w:szCs w:val="22"/>
        </w:rPr>
        <w:t xml:space="preserve"> waarmee het een strategisch partnerschap </w:t>
      </w:r>
      <w:r>
        <w:rPr>
          <w:rFonts w:asciiTheme="minorHAnsi" w:hAnsiTheme="minorHAnsi" w:cstheme="minorBidi"/>
          <w:sz w:val="22"/>
          <w:szCs w:val="22"/>
        </w:rPr>
        <w:t xml:space="preserve">heeft, en AWE, l’Agence Wallonne à </w:t>
      </w:r>
      <w:r w:rsidRPr="009F6FFE">
        <w:rPr>
          <w:rFonts w:asciiTheme="minorHAnsi" w:hAnsiTheme="minorHAnsi" w:cstheme="minorHAnsi"/>
          <w:color w:val="202124"/>
          <w:sz w:val="22"/>
          <w:szCs w:val="22"/>
        </w:rPr>
        <w:t>l’Exportation et aux Investissements Etrangers</w:t>
      </w:r>
      <w:r>
        <w:rPr>
          <w:rFonts w:asciiTheme="minorHAnsi" w:hAnsiTheme="minorHAnsi" w:cstheme="minorHAnsi"/>
          <w:color w:val="202124"/>
          <w:sz w:val="22"/>
          <w:szCs w:val="22"/>
        </w:rPr>
        <w:t>.</w:t>
      </w:r>
    </w:p>
    <w:p w14:paraId="7539A293" w14:textId="77777777" w:rsidR="00907013" w:rsidRPr="00907013" w:rsidRDefault="00907013" w:rsidP="00907013">
      <w:pPr>
        <w:jc w:val="both"/>
        <w:rPr>
          <w:lang w:val="nl-BE"/>
        </w:rPr>
      </w:pPr>
    </w:p>
    <w:p w14:paraId="1AF634C5" w14:textId="68FE4BDE" w:rsidR="00907013" w:rsidRPr="00013B32" w:rsidRDefault="00907013" w:rsidP="00907013">
      <w:pPr>
        <w:pStyle w:val="BodyText"/>
        <w:pBdr>
          <w:bottom w:val="single" w:sz="4" w:space="1" w:color="auto"/>
        </w:pBdr>
        <w:rPr>
          <w:rFonts w:asciiTheme="minorHAnsi" w:hAnsiTheme="minorHAnsi" w:cstheme="minorHAnsi"/>
          <w:highlight w:val="yellow"/>
        </w:rPr>
      </w:pPr>
    </w:p>
    <w:p w14:paraId="72532F66" w14:textId="77777777" w:rsidR="00907013" w:rsidRPr="00013B32" w:rsidRDefault="00907013" w:rsidP="00907013">
      <w:pPr>
        <w:pStyle w:val="BodyText"/>
        <w:pBdr>
          <w:bottom w:val="single" w:sz="4" w:space="1" w:color="auto"/>
        </w:pBdr>
        <w:rPr>
          <w:rFonts w:asciiTheme="minorHAnsi" w:hAnsiTheme="minorHAnsi" w:cstheme="minorBidi"/>
          <w:highlight w:val="yellow"/>
        </w:rPr>
      </w:pPr>
    </w:p>
    <w:p w14:paraId="1E0DAFD2" w14:textId="77777777" w:rsidR="007079D1" w:rsidRDefault="007079D1" w:rsidP="00907013">
      <w:pPr>
        <w:pStyle w:val="BodyText"/>
        <w:rPr>
          <w:rFonts w:asciiTheme="minorHAnsi" w:hAnsiTheme="minorHAnsi" w:cstheme="minorBidi"/>
        </w:rPr>
      </w:pPr>
    </w:p>
    <w:p w14:paraId="1C9A0671" w14:textId="04431F20" w:rsidR="00907013" w:rsidRDefault="00907013" w:rsidP="00907013">
      <w:pPr>
        <w:pStyle w:val="BodyText"/>
        <w:rPr>
          <w:rFonts w:asciiTheme="minorHAnsi" w:hAnsiTheme="minorHAnsi" w:cstheme="minorBidi"/>
        </w:rPr>
      </w:pPr>
      <w:r w:rsidRPr="00A64E3E">
        <w:rPr>
          <w:rFonts w:asciiTheme="minorHAnsi" w:hAnsiTheme="minorHAnsi" w:cstheme="minorBidi"/>
        </w:rPr>
        <w:t>Bron: Fedustria</w:t>
      </w:r>
    </w:p>
    <w:p w14:paraId="3BE967E2" w14:textId="77777777" w:rsidR="007079D1" w:rsidRDefault="007079D1" w:rsidP="00907013">
      <w:pPr>
        <w:pStyle w:val="BodyText"/>
        <w:rPr>
          <w:rFonts w:asciiTheme="minorHAnsi" w:hAnsiTheme="minorHAnsi" w:cstheme="minorBidi"/>
        </w:rPr>
      </w:pPr>
    </w:p>
    <w:p w14:paraId="76B266B0" w14:textId="14EC536C" w:rsidR="007079D1" w:rsidRPr="00A64E3E" w:rsidRDefault="007079D1" w:rsidP="00907013">
      <w:pPr>
        <w:pStyle w:val="BodyText"/>
        <w:rPr>
          <w:rFonts w:asciiTheme="minorHAnsi" w:hAnsiTheme="minorHAnsi" w:cstheme="minorBidi"/>
        </w:rPr>
      </w:pPr>
      <w:r>
        <w:rPr>
          <w:rFonts w:asciiTheme="minorHAnsi" w:hAnsiTheme="minorHAnsi" w:cstheme="minorHAnsi"/>
        </w:rPr>
        <w:drawing>
          <wp:inline distT="0" distB="0" distL="0" distR="0" wp14:anchorId="494921B0" wp14:editId="6F618579">
            <wp:extent cx="2019300" cy="936955"/>
            <wp:effectExtent l="0" t="0" r="0" b="0"/>
            <wp:docPr id="1353600123" name="Picture 2" descr="A logo with yellow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00123" name="Picture 2" descr="A logo with yellow and black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489" cy="942147"/>
                    </a:xfrm>
                    <a:prstGeom prst="rect">
                      <a:avLst/>
                    </a:prstGeom>
                  </pic:spPr>
                </pic:pic>
              </a:graphicData>
            </a:graphic>
          </wp:inline>
        </w:drawing>
      </w:r>
    </w:p>
    <w:p w14:paraId="5BF5D8D8" w14:textId="77777777" w:rsidR="00907013" w:rsidRPr="00A64E3E" w:rsidRDefault="00907013" w:rsidP="00907013">
      <w:pPr>
        <w:pStyle w:val="BodyText"/>
        <w:rPr>
          <w:rFonts w:asciiTheme="minorHAnsi" w:hAnsiTheme="minorHAnsi" w:cstheme="minorBidi"/>
        </w:rPr>
      </w:pPr>
    </w:p>
    <w:p w14:paraId="018CAE5D" w14:textId="77777777" w:rsidR="00907013" w:rsidRPr="00907013" w:rsidRDefault="00907013" w:rsidP="00907013">
      <w:pPr>
        <w:jc w:val="both"/>
        <w:textAlignment w:val="center"/>
        <w:rPr>
          <w:lang w:val="nl-BE"/>
        </w:rPr>
      </w:pPr>
      <w:r w:rsidRPr="00907013">
        <w:rPr>
          <w:i/>
          <w:iCs/>
          <w:lang w:val="nl-BE"/>
        </w:rPr>
        <w:t>Fedustria is de Belgische federatie van de textiel-, hout- en meubelindustrie en de houtinvoerhandel. Wij vertegenwoordigen in België rond de 1.660 ondernemingen (waarvan meer dan 90% kmo’s zijn), die samen 36.200 directe jobs creëren en een omzet halen van 12 miljard euro, waarvan ca. 70% uit export.</w:t>
      </w:r>
    </w:p>
    <w:p w14:paraId="0D09DBBD" w14:textId="77777777" w:rsidR="00907013" w:rsidRPr="00A64E3E" w:rsidRDefault="00907013" w:rsidP="00907013">
      <w:pPr>
        <w:pStyle w:val="BodyText"/>
        <w:rPr>
          <w:rFonts w:asciiTheme="minorHAnsi" w:hAnsiTheme="minorHAnsi" w:cstheme="minorBidi"/>
          <w:i/>
          <w:iCs/>
        </w:rPr>
      </w:pPr>
    </w:p>
    <w:p w14:paraId="4E3F8CBF" w14:textId="77777777" w:rsidR="00907013" w:rsidRPr="00A64E3E" w:rsidRDefault="00907013" w:rsidP="00907013">
      <w:pPr>
        <w:pStyle w:val="BodyText"/>
        <w:rPr>
          <w:rFonts w:asciiTheme="minorHAnsi" w:hAnsiTheme="minorHAnsi" w:cstheme="minorBidi"/>
          <w:i/>
          <w:iCs/>
        </w:rPr>
      </w:pPr>
      <w:r w:rsidRPr="00A64E3E">
        <w:rPr>
          <w:rFonts w:asciiTheme="minorHAnsi" w:hAnsiTheme="minorHAnsi" w:cstheme="minorBidi"/>
          <w:i/>
          <w:iCs/>
        </w:rPr>
        <w:t xml:space="preserve">Afzonderlijk beschouwd is de Belgische meubelindustrie goed voor een omzet van 2,3 miljard euro en om </w:t>
      </w:r>
      <w:r>
        <w:rPr>
          <w:rFonts w:asciiTheme="minorHAnsi" w:hAnsiTheme="minorHAnsi" w:cstheme="minorBidi"/>
          <w:i/>
          <w:iCs/>
        </w:rPr>
        <w:t>9.800</w:t>
      </w:r>
      <w:r w:rsidRPr="00A64E3E">
        <w:rPr>
          <w:rFonts w:asciiTheme="minorHAnsi" w:hAnsiTheme="minorHAnsi" w:cstheme="minorBidi"/>
          <w:i/>
          <w:iCs/>
        </w:rPr>
        <w:t xml:space="preserve"> werknemers.</w:t>
      </w:r>
    </w:p>
    <w:p w14:paraId="77074B5F" w14:textId="77777777" w:rsidR="00907013" w:rsidRPr="00FF4695" w:rsidRDefault="00907013" w:rsidP="00907013">
      <w:pPr>
        <w:pStyle w:val="BodyText"/>
        <w:rPr>
          <w:rFonts w:asciiTheme="minorHAnsi" w:hAnsiTheme="minorHAnsi" w:cstheme="minorBidi"/>
          <w:i/>
          <w:iCs/>
        </w:rPr>
      </w:pPr>
    </w:p>
    <w:p w14:paraId="6DE364B5" w14:textId="77777777" w:rsidR="00907013" w:rsidRPr="00FF4695" w:rsidRDefault="00907013" w:rsidP="00907013">
      <w:pPr>
        <w:pStyle w:val="BodyText"/>
        <w:tabs>
          <w:tab w:val="clear" w:pos="3884"/>
        </w:tabs>
        <w:rPr>
          <w:rFonts w:asciiTheme="minorHAnsi" w:hAnsiTheme="minorHAnsi" w:cstheme="minorBidi"/>
        </w:rPr>
      </w:pPr>
      <w:r w:rsidRPr="46D9A7C3">
        <w:rPr>
          <w:rFonts w:asciiTheme="minorHAnsi" w:hAnsiTheme="minorHAnsi" w:cstheme="minorBidi"/>
          <w:u w:val="single"/>
        </w:rPr>
        <w:t>Voor meer inlichtingen</w:t>
      </w:r>
      <w:r w:rsidRPr="46D9A7C3">
        <w:rPr>
          <w:rFonts w:asciiTheme="minorHAnsi" w:hAnsiTheme="minorHAnsi" w:cstheme="minorBidi"/>
        </w:rPr>
        <w:t xml:space="preserve">: </w:t>
      </w:r>
    </w:p>
    <w:p w14:paraId="479B74DB" w14:textId="77777777" w:rsidR="00907013" w:rsidRPr="00907013" w:rsidRDefault="00907013" w:rsidP="00907013">
      <w:pPr>
        <w:pStyle w:val="BodyText"/>
        <w:tabs>
          <w:tab w:val="clear" w:pos="3884"/>
        </w:tabs>
        <w:rPr>
          <w:rStyle w:val="Hyperlink"/>
          <w:rFonts w:asciiTheme="minorHAnsi" w:eastAsiaTheme="minorEastAsia" w:hAnsiTheme="minorHAnsi" w:cstheme="minorBidi"/>
        </w:rPr>
      </w:pPr>
      <w:r w:rsidRPr="00907013">
        <w:rPr>
          <w:rFonts w:asciiTheme="minorHAnsi" w:hAnsiTheme="minorHAnsi" w:cstheme="minorBidi"/>
        </w:rPr>
        <w:t>Filip De Jaeger, COO, +32 486 898184, filip.de.jaeger@fedustria.be</w:t>
      </w:r>
    </w:p>
    <w:p w14:paraId="31DECE33" w14:textId="77777777" w:rsidR="00907013" w:rsidRPr="00907013" w:rsidRDefault="00907013" w:rsidP="00907013">
      <w:pPr>
        <w:tabs>
          <w:tab w:val="left" w:pos="5387"/>
        </w:tabs>
        <w:jc w:val="both"/>
        <w:rPr>
          <w:rFonts w:cstheme="minorHAnsi"/>
          <w:lang w:val="nl-BE"/>
        </w:rPr>
      </w:pPr>
      <w:r w:rsidRPr="00907013">
        <w:rPr>
          <w:rFonts w:cstheme="minorHAnsi"/>
          <w:lang w:val="nl-BE"/>
        </w:rPr>
        <w:t>Katja De Vos, Communicatieverantwoordelijke, +32 476 316467, katja.devos@fedustria.be</w:t>
      </w:r>
    </w:p>
    <w:p w14:paraId="4B994FCC" w14:textId="77777777" w:rsidR="00907013" w:rsidRPr="00907013" w:rsidRDefault="00907013" w:rsidP="00907013">
      <w:pPr>
        <w:tabs>
          <w:tab w:val="left" w:pos="5387"/>
        </w:tabs>
        <w:jc w:val="both"/>
        <w:rPr>
          <w:rFonts w:cstheme="minorHAnsi"/>
          <w:lang w:val="nl-BE"/>
        </w:rPr>
      </w:pPr>
    </w:p>
    <w:p w14:paraId="538E1D16" w14:textId="77777777" w:rsidR="007239E7" w:rsidRPr="00064781" w:rsidRDefault="007239E7">
      <w:pPr>
        <w:rPr>
          <w:b/>
          <w:bCs/>
          <w:lang w:val="nl-BE"/>
        </w:rPr>
      </w:pPr>
    </w:p>
    <w:p w14:paraId="168A4558" w14:textId="10317E75" w:rsidR="007239E7" w:rsidRDefault="007239E7">
      <w:pPr>
        <w:rPr>
          <w:b/>
          <w:bCs/>
          <w:lang w:val="nl-BE"/>
        </w:rPr>
      </w:pPr>
    </w:p>
    <w:p w14:paraId="3DA57976" w14:textId="6D82DEA2" w:rsidR="007239E7" w:rsidRDefault="007239E7">
      <w:pPr>
        <w:rPr>
          <w:b/>
          <w:bCs/>
          <w:lang w:val="nl-BE"/>
        </w:rPr>
      </w:pPr>
      <w:r>
        <w:rPr>
          <w:b/>
          <w:bCs/>
          <w:lang w:val="nl-BE"/>
        </w:rPr>
        <w:br w:type="page"/>
      </w:r>
    </w:p>
    <w:p w14:paraId="0FE911DF" w14:textId="63EF860F" w:rsidR="000A79BE" w:rsidRDefault="00907013" w:rsidP="00907013">
      <w:pPr>
        <w:pStyle w:val="ListParagraph"/>
        <w:numPr>
          <w:ilvl w:val="0"/>
          <w:numId w:val="23"/>
        </w:numPr>
        <w:rPr>
          <w:b/>
          <w:bCs/>
          <w:lang w:val="nl-BE"/>
        </w:rPr>
      </w:pPr>
      <w:r w:rsidRPr="00907013">
        <w:rPr>
          <w:b/>
          <w:bCs/>
          <w:lang w:val="nl-BE"/>
        </w:rPr>
        <w:lastRenderedPageBreak/>
        <w:t>MEUBELBEURS BRUSSEL</w:t>
      </w:r>
    </w:p>
    <w:p w14:paraId="3E9A57A3" w14:textId="77777777" w:rsidR="000B3A27" w:rsidRPr="00907013" w:rsidRDefault="000B3A27" w:rsidP="000B3A27">
      <w:pPr>
        <w:pStyle w:val="ListParagraph"/>
        <w:rPr>
          <w:b/>
          <w:bCs/>
          <w:lang w:val="nl-BE"/>
        </w:rPr>
      </w:pPr>
    </w:p>
    <w:p w14:paraId="21885826" w14:textId="7A5BF4D1" w:rsidR="00605668" w:rsidRPr="00907013" w:rsidRDefault="00907013">
      <w:pPr>
        <w:rPr>
          <w:b/>
          <w:bCs/>
          <w:lang w:val="en-GB"/>
        </w:rPr>
      </w:pPr>
      <w:r w:rsidRPr="00907013">
        <w:rPr>
          <w:b/>
          <w:bCs/>
          <w:lang w:val="en-GB"/>
        </w:rPr>
        <w:t xml:space="preserve">Campagne - </w:t>
      </w:r>
      <w:r w:rsidR="001C0692" w:rsidRPr="00907013">
        <w:rPr>
          <w:b/>
          <w:bCs/>
          <w:lang w:val="en-GB"/>
        </w:rPr>
        <w:t xml:space="preserve">The </w:t>
      </w:r>
      <w:r w:rsidR="00605668" w:rsidRPr="00907013">
        <w:rPr>
          <w:b/>
          <w:bCs/>
          <w:lang w:val="en-GB"/>
        </w:rPr>
        <w:t>Future is Furnature</w:t>
      </w:r>
    </w:p>
    <w:p w14:paraId="2250E415" w14:textId="6E2CABCC" w:rsidR="00605668" w:rsidRDefault="00A91E57">
      <w:pPr>
        <w:rPr>
          <w:lang w:val="nl-BE"/>
        </w:rPr>
      </w:pPr>
      <w:r w:rsidRPr="00907013">
        <w:rPr>
          <w:lang w:val="nl-BE"/>
        </w:rPr>
        <w:t>Al meer dan 20 jaar</w:t>
      </w:r>
      <w:r w:rsidR="00605668" w:rsidRPr="00907013">
        <w:rPr>
          <w:lang w:val="nl-BE"/>
        </w:rPr>
        <w:t xml:space="preserve"> komt de MB jaarlijks met een nieuw campagnebeeld </w:t>
      </w:r>
      <w:r w:rsidR="00010671" w:rsidRPr="00907013">
        <w:rPr>
          <w:lang w:val="nl-BE"/>
        </w:rPr>
        <w:t>voor de dag</w:t>
      </w:r>
      <w:r w:rsidR="00664FC3" w:rsidRPr="00907013">
        <w:rPr>
          <w:lang w:val="nl-BE"/>
        </w:rPr>
        <w:t xml:space="preserve">. </w:t>
      </w:r>
      <w:r w:rsidR="00010671" w:rsidRPr="00907013">
        <w:rPr>
          <w:lang w:val="nl-BE"/>
        </w:rPr>
        <w:t>We herkennen hierbij enkele</w:t>
      </w:r>
      <w:r w:rsidR="00010671">
        <w:rPr>
          <w:lang w:val="nl-BE"/>
        </w:rPr>
        <w:t xml:space="preserve"> wederkerende elemente</w:t>
      </w:r>
      <w:r w:rsidR="008F3D35">
        <w:rPr>
          <w:lang w:val="nl-BE"/>
        </w:rPr>
        <w:t>n</w:t>
      </w:r>
      <w:r w:rsidR="00605668">
        <w:rPr>
          <w:lang w:val="nl-BE"/>
        </w:rPr>
        <w:t xml:space="preserve">: </w:t>
      </w:r>
      <w:r w:rsidR="00776A4E">
        <w:rPr>
          <w:lang w:val="nl-BE"/>
        </w:rPr>
        <w:t>Meubel</w:t>
      </w:r>
      <w:r w:rsidR="000A79BE">
        <w:rPr>
          <w:lang w:val="nl-BE"/>
        </w:rPr>
        <w:t>s</w:t>
      </w:r>
      <w:r w:rsidR="000A1FC5">
        <w:rPr>
          <w:lang w:val="nl-BE"/>
        </w:rPr>
        <w:t>, esthetiek</w:t>
      </w:r>
      <w:r w:rsidR="00776A4E">
        <w:rPr>
          <w:lang w:val="nl-BE"/>
        </w:rPr>
        <w:t xml:space="preserve">, </w:t>
      </w:r>
      <w:r w:rsidR="0026302B">
        <w:rPr>
          <w:lang w:val="nl-BE"/>
        </w:rPr>
        <w:t>g</w:t>
      </w:r>
      <w:r w:rsidR="00605668">
        <w:rPr>
          <w:lang w:val="nl-BE"/>
        </w:rPr>
        <w:t>ezelligheid</w:t>
      </w:r>
      <w:r w:rsidR="0026302B">
        <w:rPr>
          <w:lang w:val="nl-BE"/>
        </w:rPr>
        <w:t xml:space="preserve"> &amp; </w:t>
      </w:r>
      <w:r w:rsidR="000A1FC5">
        <w:rPr>
          <w:lang w:val="nl-BE"/>
        </w:rPr>
        <w:t>gastvrijheid</w:t>
      </w:r>
      <w:r w:rsidR="0026302B">
        <w:rPr>
          <w:lang w:val="nl-BE"/>
        </w:rPr>
        <w:t xml:space="preserve"> en</w:t>
      </w:r>
      <w:r w:rsidR="00605668">
        <w:rPr>
          <w:lang w:val="nl-BE"/>
        </w:rPr>
        <w:t xml:space="preserve"> business</w:t>
      </w:r>
      <w:r w:rsidR="0026302B">
        <w:rPr>
          <w:lang w:val="nl-BE"/>
        </w:rPr>
        <w:t>.</w:t>
      </w:r>
      <w:r w:rsidR="00605668">
        <w:rPr>
          <w:lang w:val="nl-BE"/>
        </w:rPr>
        <w:t xml:space="preserve"> </w:t>
      </w:r>
      <w:r w:rsidR="0026302B">
        <w:rPr>
          <w:lang w:val="nl-BE"/>
        </w:rPr>
        <w:t xml:space="preserve">Elementen die </w:t>
      </w:r>
      <w:r w:rsidR="00664FC3">
        <w:rPr>
          <w:lang w:val="nl-BE"/>
        </w:rPr>
        <w:t xml:space="preserve">grotendeels </w:t>
      </w:r>
      <w:r w:rsidR="0026302B">
        <w:rPr>
          <w:lang w:val="nl-BE"/>
        </w:rPr>
        <w:t xml:space="preserve">ook in de huidige campagne </w:t>
      </w:r>
      <w:r w:rsidR="00664FC3">
        <w:rPr>
          <w:lang w:val="nl-BE"/>
        </w:rPr>
        <w:t>werden verwerkt</w:t>
      </w:r>
      <w:r w:rsidR="0026302B">
        <w:rPr>
          <w:lang w:val="nl-BE"/>
        </w:rPr>
        <w:t xml:space="preserve">, zij het </w:t>
      </w:r>
      <w:r w:rsidR="00605668">
        <w:rPr>
          <w:lang w:val="nl-BE"/>
        </w:rPr>
        <w:t xml:space="preserve">met een sterke focus op natuur. </w:t>
      </w:r>
      <w:r w:rsidR="0026302B">
        <w:rPr>
          <w:lang w:val="nl-BE"/>
        </w:rPr>
        <w:t>Eén</w:t>
      </w:r>
      <w:r w:rsidR="00605668">
        <w:rPr>
          <w:lang w:val="nl-BE"/>
        </w:rPr>
        <w:t xml:space="preserve"> belangrijk element </w:t>
      </w:r>
      <w:r w:rsidR="0026302B">
        <w:rPr>
          <w:lang w:val="nl-BE"/>
        </w:rPr>
        <w:t>vonden we echter niet terug in vorige campagnes, en maakt nochtans</w:t>
      </w:r>
      <w:r w:rsidR="00605668">
        <w:rPr>
          <w:lang w:val="nl-BE"/>
        </w:rPr>
        <w:t xml:space="preserve"> mee </w:t>
      </w:r>
      <w:r w:rsidR="0026302B">
        <w:rPr>
          <w:lang w:val="nl-BE"/>
        </w:rPr>
        <w:t xml:space="preserve">deel uit van </w:t>
      </w:r>
      <w:r w:rsidR="00605668">
        <w:rPr>
          <w:lang w:val="nl-BE"/>
        </w:rPr>
        <w:t>de kern van onze business</w:t>
      </w:r>
      <w:r w:rsidR="0026302B">
        <w:rPr>
          <w:lang w:val="nl-BE"/>
        </w:rPr>
        <w:t>, namelijk</w:t>
      </w:r>
      <w:r w:rsidR="00605668">
        <w:rPr>
          <w:lang w:val="nl-BE"/>
        </w:rPr>
        <w:t xml:space="preserve"> de toekomst! </w:t>
      </w:r>
      <w:r w:rsidR="0026302B">
        <w:rPr>
          <w:lang w:val="nl-BE"/>
        </w:rPr>
        <w:t xml:space="preserve">Toekomstgericht handelen en </w:t>
      </w:r>
      <w:r w:rsidR="0026302B" w:rsidRPr="00A91E57">
        <w:rPr>
          <w:lang w:val="nl-BE"/>
        </w:rPr>
        <w:t>denken staat inderdaad centraal</w:t>
      </w:r>
      <w:r w:rsidR="000A1FC5" w:rsidRPr="00A91E57">
        <w:rPr>
          <w:lang w:val="nl-BE"/>
        </w:rPr>
        <w:t xml:space="preserve"> binnen de formule die de </w:t>
      </w:r>
      <w:r w:rsidR="0026302B" w:rsidRPr="00A91E57">
        <w:rPr>
          <w:lang w:val="nl-BE"/>
        </w:rPr>
        <w:t>Meubelbeurs Brussel</w:t>
      </w:r>
      <w:r w:rsidR="000A1FC5" w:rsidRPr="00A91E57">
        <w:rPr>
          <w:lang w:val="nl-BE"/>
        </w:rPr>
        <w:t xml:space="preserve"> tot een succes maakt. </w:t>
      </w:r>
      <w:r w:rsidR="00605668" w:rsidRPr="00A91E57">
        <w:rPr>
          <w:lang w:val="nl-BE"/>
        </w:rPr>
        <w:t xml:space="preserve">Want daar gaat het voor onze bezoekers en exposanten tenslotte toch om: De beurs gebruiken als tool om </w:t>
      </w:r>
      <w:r w:rsidR="0026302B" w:rsidRPr="00A91E57">
        <w:rPr>
          <w:lang w:val="nl-BE"/>
        </w:rPr>
        <w:t>verder te</w:t>
      </w:r>
      <w:r w:rsidR="00605668" w:rsidRPr="00A91E57">
        <w:rPr>
          <w:lang w:val="nl-BE"/>
        </w:rPr>
        <w:t xml:space="preserve"> bouwen aan een</w:t>
      </w:r>
      <w:r w:rsidR="00605668">
        <w:rPr>
          <w:lang w:val="nl-BE"/>
        </w:rPr>
        <w:t xml:space="preserve"> succesvolle zaak</w:t>
      </w:r>
      <w:r w:rsidR="00825B30">
        <w:rPr>
          <w:lang w:val="nl-BE"/>
        </w:rPr>
        <w:t xml:space="preserve">. </w:t>
      </w:r>
    </w:p>
    <w:p w14:paraId="011195D5" w14:textId="77777777" w:rsidR="000B3A27" w:rsidRDefault="000B3A27">
      <w:pPr>
        <w:rPr>
          <w:b/>
          <w:bCs/>
          <w:lang w:val="nl-BE"/>
        </w:rPr>
      </w:pPr>
    </w:p>
    <w:p w14:paraId="13AA9776" w14:textId="4220D82A" w:rsidR="004E3E78" w:rsidRPr="004E3E78" w:rsidRDefault="004E3E78">
      <w:pPr>
        <w:rPr>
          <w:b/>
          <w:bCs/>
          <w:lang w:val="nl-BE"/>
        </w:rPr>
      </w:pPr>
      <w:r w:rsidRPr="004E3E78">
        <w:rPr>
          <w:b/>
          <w:bCs/>
          <w:lang w:val="nl-BE"/>
        </w:rPr>
        <w:t>ECO-initiatieven</w:t>
      </w:r>
    </w:p>
    <w:p w14:paraId="1BC84A63" w14:textId="51F3C869" w:rsidR="002171E9" w:rsidRDefault="0026302B">
      <w:pPr>
        <w:rPr>
          <w:lang w:val="nl-BE"/>
        </w:rPr>
      </w:pPr>
      <w:r>
        <w:rPr>
          <w:lang w:val="nl-BE"/>
        </w:rPr>
        <w:t>Wie vandaag zijn blik naar de toekomst richt kan onmogelijk kijken naast de steeds groter wordende aandacht voor ecologisch verantwoord handelen. Maar wat houdt dit begrip juist in ‘ecologisch verantwoord handelen’?</w:t>
      </w:r>
      <w:r w:rsidR="00B11806">
        <w:rPr>
          <w:lang w:val="nl-BE"/>
        </w:rPr>
        <w:t xml:space="preserve"> </w:t>
      </w:r>
      <w:r w:rsidR="009D18DE">
        <w:rPr>
          <w:lang w:val="nl-BE"/>
        </w:rPr>
        <w:t xml:space="preserve">Het valt op dat er veel initiatieven ondernomen worden, maar dat er nog geen duidelijke lijn bestaat waarop de </w:t>
      </w:r>
      <w:r w:rsidR="00010671">
        <w:rPr>
          <w:lang w:val="nl-BE"/>
        </w:rPr>
        <w:t>meubel</w:t>
      </w:r>
      <w:r w:rsidR="009D18DE">
        <w:rPr>
          <w:lang w:val="nl-BE"/>
        </w:rPr>
        <w:t xml:space="preserve">fabrikant of </w:t>
      </w:r>
      <w:r w:rsidR="00010671">
        <w:rPr>
          <w:lang w:val="nl-BE"/>
        </w:rPr>
        <w:t>-</w:t>
      </w:r>
      <w:r w:rsidR="009D18DE">
        <w:rPr>
          <w:lang w:val="nl-BE"/>
        </w:rPr>
        <w:t>retailer zijn beleidsvisie kan uitbouwen. Als platform voor de meubelsector heeft de Meubelbeurs daarom als doel om deze informatie te</w:t>
      </w:r>
      <w:r w:rsidR="00655AAD">
        <w:rPr>
          <w:lang w:val="nl-BE"/>
        </w:rPr>
        <w:t xml:space="preserve"> </w:t>
      </w:r>
      <w:r w:rsidR="009D18DE">
        <w:rPr>
          <w:lang w:val="nl-BE"/>
        </w:rPr>
        <w:t>verspreiden. Hiervoor riepen we de markering ‘ECO-Stories’ in het leven</w:t>
      </w:r>
      <w:r w:rsidR="00655AAD">
        <w:rPr>
          <w:lang w:val="nl-BE"/>
        </w:rPr>
        <w:t xml:space="preserve">, terug te vinden op het hallenplan. De naam zegt het zelf, ECO-Stories zijn absoluut geen keurmerk, maar een medium dat aanzet tot het delen van informatie en ervaringen. </w:t>
      </w:r>
      <w:r w:rsidR="00010671">
        <w:rPr>
          <w:lang w:val="nl-BE"/>
        </w:rPr>
        <w:t>We maken hierbij een onderscheid tussen verhalen van</w:t>
      </w:r>
      <w:r w:rsidR="00655AAD">
        <w:rPr>
          <w:lang w:val="nl-BE"/>
        </w:rPr>
        <w:t xml:space="preserve"> </w:t>
      </w:r>
      <w:r w:rsidR="00010671">
        <w:rPr>
          <w:lang w:val="nl-BE"/>
        </w:rPr>
        <w:t xml:space="preserve">de </w:t>
      </w:r>
      <w:r w:rsidR="00655AAD">
        <w:rPr>
          <w:lang w:val="nl-BE"/>
        </w:rPr>
        <w:t>meubelfabrikanten, onze exposanten, en niet-fabrikanten</w:t>
      </w:r>
      <w:r w:rsidR="00010671">
        <w:rPr>
          <w:lang w:val="nl-BE"/>
        </w:rPr>
        <w:t>.</w:t>
      </w:r>
    </w:p>
    <w:p w14:paraId="43EE1180" w14:textId="4ED3731C" w:rsidR="002171E9" w:rsidRPr="002171E9" w:rsidRDefault="002171E9">
      <w:pPr>
        <w:rPr>
          <w:lang w:val="nl-BE"/>
        </w:rPr>
      </w:pPr>
      <w:r>
        <w:rPr>
          <w:lang w:val="nl-BE"/>
        </w:rPr>
        <w:t>In</w:t>
      </w:r>
      <w:r w:rsidRPr="002171E9">
        <w:rPr>
          <w:lang w:val="nl-BE"/>
        </w:rPr>
        <w:t xml:space="preserve"> de Brussels Furniture AFfairs nieuwsbrief en blog</w:t>
      </w:r>
      <w:r>
        <w:rPr>
          <w:lang w:val="nl-BE"/>
        </w:rPr>
        <w:t xml:space="preserve"> werden</w:t>
      </w:r>
      <w:r w:rsidR="00BB4AED">
        <w:rPr>
          <w:lang w:val="nl-BE"/>
        </w:rPr>
        <w:t xml:space="preserve"> </w:t>
      </w:r>
      <w:r w:rsidR="003B5D8E">
        <w:rPr>
          <w:lang w:val="nl-BE"/>
        </w:rPr>
        <w:t>al</w:t>
      </w:r>
      <w:r w:rsidR="00BB4AED">
        <w:rPr>
          <w:lang w:val="nl-BE"/>
        </w:rPr>
        <w:t xml:space="preserve"> enkele ECO-verhalen van onze exposanten gedeeld. Hieronder </w:t>
      </w:r>
      <w:r w:rsidR="003B5D8E">
        <w:rPr>
          <w:lang w:val="nl-BE"/>
        </w:rPr>
        <w:t>sommen we</w:t>
      </w:r>
      <w:r w:rsidR="00BB4AED">
        <w:rPr>
          <w:lang w:val="nl-BE"/>
        </w:rPr>
        <w:t xml:space="preserve"> alle exposanten </w:t>
      </w:r>
      <w:r w:rsidR="003B5D8E">
        <w:rPr>
          <w:lang w:val="nl-BE"/>
        </w:rPr>
        <w:t xml:space="preserve">met een </w:t>
      </w:r>
      <w:r w:rsidR="00BB4AED">
        <w:rPr>
          <w:lang w:val="nl-BE"/>
        </w:rPr>
        <w:t>EC</w:t>
      </w:r>
      <w:r w:rsidR="003B5D8E">
        <w:rPr>
          <w:lang w:val="nl-BE"/>
        </w:rPr>
        <w:t>O</w:t>
      </w:r>
      <w:r w:rsidR="00BB4AED">
        <w:rPr>
          <w:lang w:val="nl-BE"/>
        </w:rPr>
        <w:t xml:space="preserve">-Stories </w:t>
      </w:r>
      <w:r w:rsidR="003B5D8E">
        <w:rPr>
          <w:lang w:val="nl-BE"/>
        </w:rPr>
        <w:t>markering op</w:t>
      </w:r>
      <w:r w:rsidR="00BB4AED">
        <w:rPr>
          <w:lang w:val="nl-BE"/>
        </w:rPr>
        <w:t>, en pikken we er de meest opvallende verhalen uit.</w:t>
      </w:r>
    </w:p>
    <w:p w14:paraId="20EA4EBC" w14:textId="4C4C6CE4" w:rsidR="00EB4C43" w:rsidRPr="002171E9" w:rsidRDefault="002171E9">
      <w:pPr>
        <w:rPr>
          <w:lang w:val="nl-BE"/>
        </w:rPr>
      </w:pPr>
      <w:r w:rsidRPr="002171E9">
        <w:rPr>
          <w:lang w:val="nl-BE"/>
        </w:rPr>
        <w:t xml:space="preserve">Exposanten met ECO-Stories markering: Arbres de Vie, </w:t>
      </w:r>
      <w:r w:rsidR="00FC1AB1" w:rsidRPr="002171E9">
        <w:rPr>
          <w:lang w:val="nl-BE"/>
        </w:rPr>
        <w:t>Arctic Living, Aya of Sweden, Benoa, De Eekhoorn, Ecolife Beds, Fantasia, Forte, Glam-more, Herleven, Het Anker, Isbir Bedding, Nicoletti Home, Perfecta, Rauch, Revor, Saunaco, Staud, Theuns, Toon de Somer, Wima, Wimex, Wöstmann.</w:t>
      </w:r>
    </w:p>
    <w:p w14:paraId="764BEE4D" w14:textId="3EF9CF95" w:rsidR="00F92C72" w:rsidRPr="002171E9" w:rsidRDefault="00FC1AB1" w:rsidP="002171E9">
      <w:pPr>
        <w:pStyle w:val="ListParagraph"/>
        <w:numPr>
          <w:ilvl w:val="0"/>
          <w:numId w:val="2"/>
        </w:numPr>
        <w:rPr>
          <w:lang w:val="nl-BE"/>
        </w:rPr>
      </w:pPr>
      <w:r>
        <w:rPr>
          <w:lang w:val="nl-BE"/>
        </w:rPr>
        <w:t>Herleven</w:t>
      </w:r>
      <w:r w:rsidR="002171E9">
        <w:rPr>
          <w:lang w:val="nl-BE"/>
        </w:rPr>
        <w:t>:</w:t>
      </w:r>
      <w:r w:rsidR="00BB4AED">
        <w:rPr>
          <w:lang w:val="nl-BE"/>
        </w:rPr>
        <w:t xml:space="preserve"> Hoogwaardige meubelen</w:t>
      </w:r>
      <w:r w:rsidR="003B5D8E">
        <w:rPr>
          <w:lang w:val="nl-BE"/>
        </w:rPr>
        <w:t xml:space="preserve"> die vervaardigd werden</w:t>
      </w:r>
      <w:r w:rsidR="00BB4AED">
        <w:rPr>
          <w:lang w:val="nl-BE"/>
        </w:rPr>
        <w:t xml:space="preserve"> uit gerecycleerd afval, met aandacht voor duurzaamheid</w:t>
      </w:r>
      <w:r w:rsidR="003B5D8E">
        <w:rPr>
          <w:lang w:val="nl-BE"/>
        </w:rPr>
        <w:t xml:space="preserve"> als uitgangspunt</w:t>
      </w:r>
      <w:r w:rsidR="00BB4AED">
        <w:rPr>
          <w:lang w:val="nl-BE"/>
        </w:rPr>
        <w:t>.</w:t>
      </w:r>
    </w:p>
    <w:p w14:paraId="34169559" w14:textId="16AD8738" w:rsidR="002171E9" w:rsidRDefault="002171E9" w:rsidP="00F92C72">
      <w:pPr>
        <w:pStyle w:val="ListParagraph"/>
        <w:numPr>
          <w:ilvl w:val="0"/>
          <w:numId w:val="2"/>
        </w:numPr>
        <w:rPr>
          <w:lang w:val="nl-BE"/>
        </w:rPr>
      </w:pPr>
      <w:r>
        <w:rPr>
          <w:lang w:val="nl-BE"/>
        </w:rPr>
        <w:t>Ecolife Beds</w:t>
      </w:r>
      <w:r w:rsidR="00BB4AED">
        <w:rPr>
          <w:lang w:val="nl-BE"/>
        </w:rPr>
        <w:t>: Een veganistisch</w:t>
      </w:r>
      <w:r w:rsidR="00E85309">
        <w:rPr>
          <w:lang w:val="nl-BE"/>
        </w:rPr>
        <w:t>e</w:t>
      </w:r>
      <w:r w:rsidR="00BB4AED">
        <w:rPr>
          <w:lang w:val="nl-BE"/>
        </w:rPr>
        <w:t xml:space="preserve"> bedden</w:t>
      </w:r>
      <w:r w:rsidR="00E85309">
        <w:rPr>
          <w:lang w:val="nl-BE"/>
        </w:rPr>
        <w:t>fabrikant. Maakt geen gebruik van kunststof, chemische en synthetische toevoegingen.</w:t>
      </w:r>
    </w:p>
    <w:p w14:paraId="706D229A" w14:textId="2385606B" w:rsidR="002171E9" w:rsidRPr="00A91E57" w:rsidRDefault="002171E9" w:rsidP="00F92C72">
      <w:pPr>
        <w:pStyle w:val="ListParagraph"/>
        <w:numPr>
          <w:ilvl w:val="0"/>
          <w:numId w:val="2"/>
        </w:numPr>
        <w:rPr>
          <w:lang w:val="nl-BE"/>
        </w:rPr>
      </w:pPr>
      <w:r>
        <w:rPr>
          <w:lang w:val="nl-BE"/>
        </w:rPr>
        <w:t>Arctic Living</w:t>
      </w:r>
      <w:r w:rsidR="00E85309" w:rsidRPr="00A91E57">
        <w:rPr>
          <w:lang w:val="nl-BE"/>
        </w:rPr>
        <w:t>: Het minimaliseren van de CO2 uitstoot en het gebruiken van duurzame energie staan centraal binnen het productieproces</w:t>
      </w:r>
      <w:r w:rsidR="003B5D8E" w:rsidRPr="00A91E57">
        <w:rPr>
          <w:lang w:val="nl-BE"/>
        </w:rPr>
        <w:t xml:space="preserve"> bij Arctic Living</w:t>
      </w:r>
      <w:r w:rsidR="00E85309" w:rsidRPr="00A91E57">
        <w:rPr>
          <w:lang w:val="nl-BE"/>
        </w:rPr>
        <w:t>.</w:t>
      </w:r>
    </w:p>
    <w:p w14:paraId="1B73D5EC" w14:textId="5DEAF766" w:rsidR="002171E9" w:rsidRDefault="002171E9" w:rsidP="00F92C72">
      <w:pPr>
        <w:pStyle w:val="ListParagraph"/>
        <w:numPr>
          <w:ilvl w:val="0"/>
          <w:numId w:val="2"/>
        </w:numPr>
        <w:rPr>
          <w:lang w:val="nl-BE"/>
        </w:rPr>
      </w:pPr>
      <w:r w:rsidRPr="00A91E57">
        <w:rPr>
          <w:lang w:val="nl-BE"/>
        </w:rPr>
        <w:t>Revor</w:t>
      </w:r>
      <w:r w:rsidR="00462910" w:rsidRPr="00A91E57">
        <w:rPr>
          <w:lang w:val="nl-BE"/>
        </w:rPr>
        <w:t>: Volledig circulaire matras. Met andere woorden, alle materialen die verwerkt werden in deze matrassen kunnen eindeloos hergebruikt worden</w:t>
      </w:r>
      <w:r w:rsidR="00462910">
        <w:rPr>
          <w:lang w:val="nl-BE"/>
        </w:rPr>
        <w:t>, zonder kwaliteitsverlies.</w:t>
      </w:r>
    </w:p>
    <w:p w14:paraId="532AC05C" w14:textId="3252E3D3" w:rsidR="00F92C72" w:rsidRDefault="00385AB2">
      <w:pPr>
        <w:rPr>
          <w:lang w:val="nl-BE"/>
        </w:rPr>
      </w:pPr>
      <w:r>
        <w:rPr>
          <w:lang w:val="nl-BE"/>
        </w:rPr>
        <w:t xml:space="preserve">Dat bedrijven aandacht schenken aan ecologie en hierover communiceren is geen nieuwe trend, wat </w:t>
      </w:r>
      <w:r w:rsidR="00905707">
        <w:rPr>
          <w:lang w:val="nl-BE"/>
        </w:rPr>
        <w:t>wel steeds meer opvalt is</w:t>
      </w:r>
      <w:r w:rsidR="001B3117">
        <w:rPr>
          <w:lang w:val="nl-BE"/>
        </w:rPr>
        <w:t xml:space="preserve"> een evolutie waar</w:t>
      </w:r>
      <w:r w:rsidR="00905707">
        <w:rPr>
          <w:lang w:val="nl-BE"/>
        </w:rPr>
        <w:t xml:space="preserve"> er meer in detail gecommuniceerd wordt over</w:t>
      </w:r>
      <w:r w:rsidR="001B3117">
        <w:rPr>
          <w:lang w:val="nl-BE"/>
        </w:rPr>
        <w:t xml:space="preserve"> het gewicht van ondernomen actie</w:t>
      </w:r>
      <w:r w:rsidR="00905707">
        <w:rPr>
          <w:lang w:val="nl-BE"/>
        </w:rPr>
        <w:t>s</w:t>
      </w:r>
      <w:r w:rsidR="001B3117">
        <w:rPr>
          <w:lang w:val="nl-BE"/>
        </w:rPr>
        <w:t xml:space="preserve">. </w:t>
      </w:r>
      <w:r w:rsidR="00905707">
        <w:rPr>
          <w:lang w:val="nl-BE"/>
        </w:rPr>
        <w:t>Wanneer</w:t>
      </w:r>
      <w:r w:rsidR="00071E39">
        <w:rPr>
          <w:lang w:val="nl-BE"/>
        </w:rPr>
        <w:t xml:space="preserve"> we </w:t>
      </w:r>
      <w:r w:rsidR="001E37E4">
        <w:rPr>
          <w:lang w:val="nl-BE"/>
        </w:rPr>
        <w:t>op zoek gaan</w:t>
      </w:r>
      <w:r w:rsidR="00071E39">
        <w:rPr>
          <w:lang w:val="nl-BE"/>
        </w:rPr>
        <w:t xml:space="preserve"> naar trends </w:t>
      </w:r>
      <w:r w:rsidR="00905707">
        <w:rPr>
          <w:lang w:val="nl-BE"/>
        </w:rPr>
        <w:t>op basis van</w:t>
      </w:r>
      <w:r w:rsidR="00071E39">
        <w:rPr>
          <w:lang w:val="nl-BE"/>
        </w:rPr>
        <w:t xml:space="preserve"> ons eigen ECO-Stories </w:t>
      </w:r>
      <w:r w:rsidR="00C2009C">
        <w:rPr>
          <w:lang w:val="nl-BE"/>
        </w:rPr>
        <w:t>markering</w:t>
      </w:r>
      <w:r w:rsidR="00071E39">
        <w:rPr>
          <w:lang w:val="nl-BE"/>
        </w:rPr>
        <w:t>, kunnen we</w:t>
      </w:r>
      <w:r w:rsidR="00905707">
        <w:rPr>
          <w:lang w:val="nl-BE"/>
        </w:rPr>
        <w:t xml:space="preserve"> stellen,</w:t>
      </w:r>
      <w:r w:rsidR="00071E39">
        <w:rPr>
          <w:lang w:val="nl-BE"/>
        </w:rPr>
        <w:t xml:space="preserve"> weliswaar zonder</w:t>
      </w:r>
      <w:r w:rsidR="00905707">
        <w:rPr>
          <w:lang w:val="nl-BE"/>
        </w:rPr>
        <w:t xml:space="preserve"> enige</w:t>
      </w:r>
      <w:r w:rsidR="00071E39">
        <w:rPr>
          <w:lang w:val="nl-BE"/>
        </w:rPr>
        <w:t xml:space="preserve"> wetenschappelijke relevantie, dat vooral </w:t>
      </w:r>
      <w:r w:rsidR="00905707">
        <w:rPr>
          <w:lang w:val="nl-BE"/>
        </w:rPr>
        <w:t>fabrikanten uit Duitsland</w:t>
      </w:r>
      <w:r w:rsidR="00071E39">
        <w:rPr>
          <w:lang w:val="nl-BE"/>
        </w:rPr>
        <w:t xml:space="preserve"> en fabrikanten in de beddingsector </w:t>
      </w:r>
      <w:r w:rsidR="00905707">
        <w:rPr>
          <w:lang w:val="nl-BE"/>
        </w:rPr>
        <w:t xml:space="preserve">bereid zijn om hun </w:t>
      </w:r>
      <w:r w:rsidR="001E37E4">
        <w:rPr>
          <w:lang w:val="nl-BE"/>
        </w:rPr>
        <w:t>ervaringen</w:t>
      </w:r>
      <w:r w:rsidR="00905707">
        <w:rPr>
          <w:lang w:val="nl-BE"/>
        </w:rPr>
        <w:t xml:space="preserve"> te delen</w:t>
      </w:r>
      <w:r w:rsidR="00071E39">
        <w:rPr>
          <w:lang w:val="nl-BE"/>
        </w:rPr>
        <w:t>.</w:t>
      </w:r>
      <w:r w:rsidR="00905707">
        <w:rPr>
          <w:lang w:val="nl-BE"/>
        </w:rPr>
        <w:t xml:space="preserve"> </w:t>
      </w:r>
      <w:r w:rsidR="0076479C">
        <w:rPr>
          <w:lang w:val="nl-BE"/>
        </w:rPr>
        <w:t xml:space="preserve">In Duitsland valt het gebruik van diverse labels op. </w:t>
      </w:r>
      <w:r w:rsidR="000E1BE7">
        <w:rPr>
          <w:lang w:val="nl-BE"/>
        </w:rPr>
        <w:t xml:space="preserve">Deze eco-labels gelden als respectabele, </w:t>
      </w:r>
      <w:r w:rsidR="000E1BE7">
        <w:rPr>
          <w:lang w:val="nl-BE"/>
        </w:rPr>
        <w:lastRenderedPageBreak/>
        <w:t xml:space="preserve">objectieve keurmerken, waarmee de meubelindustrie in Duitsland </w:t>
      </w:r>
      <w:r w:rsidR="001E37E4">
        <w:rPr>
          <w:lang w:val="nl-BE"/>
        </w:rPr>
        <w:t xml:space="preserve">duidelijk </w:t>
      </w:r>
      <w:r w:rsidR="000E1BE7">
        <w:rPr>
          <w:lang w:val="nl-BE"/>
        </w:rPr>
        <w:t>voorop loopt.</w:t>
      </w:r>
      <w:r w:rsidR="005B3A88">
        <w:rPr>
          <w:lang w:val="nl-BE"/>
        </w:rPr>
        <w:t xml:space="preserve"> Daarnaast merken we via de communicatiekanalen van de exposanten zelf dat velen onder hen aandacht schenken aan ecologie, maar dat ze hun initiatieven niet voldoende achten om er een ECO-verhaal rond te vertellen.</w:t>
      </w:r>
    </w:p>
    <w:p w14:paraId="39D728DC" w14:textId="3FB17272" w:rsidR="000E1BE7" w:rsidRDefault="000E1BE7">
      <w:pPr>
        <w:rPr>
          <w:lang w:val="nl-BE"/>
        </w:rPr>
      </w:pPr>
    </w:p>
    <w:p w14:paraId="75E77B90" w14:textId="68AC6420" w:rsidR="000E1BE7" w:rsidRPr="009D04C3" w:rsidRDefault="000E1BE7">
      <w:pPr>
        <w:rPr>
          <w:rFonts w:cstheme="minorHAnsi"/>
          <w:lang w:val="nl-BE"/>
        </w:rPr>
      </w:pPr>
      <w:r>
        <w:rPr>
          <w:lang w:val="nl-BE"/>
        </w:rPr>
        <w:t xml:space="preserve">Op de valven in hal 3 (zone Square) hebben we door middel van posters ook aandacht willen schenken aan de ECO-verhalen van andere actoren uit onze sector. Deze verhalen kunnen retailers en </w:t>
      </w:r>
      <w:r w:rsidRPr="009D04C3">
        <w:rPr>
          <w:rFonts w:cstheme="minorHAnsi"/>
          <w:lang w:val="nl-BE"/>
        </w:rPr>
        <w:t xml:space="preserve">exposanten inspireren tot het schrijven van </w:t>
      </w:r>
      <w:r w:rsidR="001E37E4">
        <w:rPr>
          <w:rFonts w:cstheme="minorHAnsi"/>
          <w:lang w:val="nl-BE"/>
        </w:rPr>
        <w:t>hun</w:t>
      </w:r>
      <w:r w:rsidRPr="009D04C3">
        <w:rPr>
          <w:rFonts w:cstheme="minorHAnsi"/>
          <w:lang w:val="nl-BE"/>
        </w:rPr>
        <w:t xml:space="preserve"> eigen ECO-verhaal, maar </w:t>
      </w:r>
      <w:r w:rsidR="001E37E4">
        <w:rPr>
          <w:rFonts w:cstheme="minorHAnsi"/>
          <w:lang w:val="nl-BE"/>
        </w:rPr>
        <w:t xml:space="preserve">ze </w:t>
      </w:r>
      <w:r w:rsidRPr="009D04C3">
        <w:rPr>
          <w:rFonts w:cstheme="minorHAnsi"/>
          <w:lang w:val="nl-BE"/>
        </w:rPr>
        <w:t xml:space="preserve">bevatten ook concrete informatie waarmee </w:t>
      </w:r>
      <w:r w:rsidR="001E37E4">
        <w:rPr>
          <w:rFonts w:cstheme="minorHAnsi"/>
          <w:lang w:val="nl-BE"/>
        </w:rPr>
        <w:t>ze</w:t>
      </w:r>
      <w:r w:rsidRPr="009D04C3">
        <w:rPr>
          <w:rFonts w:cstheme="minorHAnsi"/>
          <w:lang w:val="nl-BE"/>
        </w:rPr>
        <w:t xml:space="preserve"> direct aan de slag kunnen.</w:t>
      </w:r>
    </w:p>
    <w:p w14:paraId="0970D7E8" w14:textId="12BD2B75" w:rsidR="00650451" w:rsidRPr="009D04C3" w:rsidRDefault="000E1BE7">
      <w:pPr>
        <w:rPr>
          <w:rFonts w:cstheme="minorHAnsi"/>
          <w:color w:val="000000" w:themeColor="text1"/>
          <w:lang w:val="nl-BE"/>
        </w:rPr>
      </w:pPr>
      <w:r w:rsidRPr="009D04C3">
        <w:rPr>
          <w:rFonts w:cstheme="minorHAnsi"/>
          <w:lang w:val="nl-BE"/>
        </w:rPr>
        <w:t xml:space="preserve">Een greep uit </w:t>
      </w:r>
      <w:r w:rsidRPr="009D04C3">
        <w:rPr>
          <w:rFonts w:cstheme="minorHAnsi"/>
          <w:color w:val="000000" w:themeColor="text1"/>
          <w:lang w:val="nl-BE"/>
        </w:rPr>
        <w:t>deze ECO-verhalen en actoren</w:t>
      </w:r>
      <w:r w:rsidR="00814486" w:rsidRPr="009D04C3">
        <w:rPr>
          <w:rFonts w:cstheme="minorHAnsi"/>
          <w:color w:val="000000" w:themeColor="text1"/>
          <w:lang w:val="nl-BE"/>
        </w:rPr>
        <w:t>:</w:t>
      </w:r>
    </w:p>
    <w:p w14:paraId="64A332F6" w14:textId="51493474" w:rsidR="000E1BE7" w:rsidRPr="003D0C26" w:rsidRDefault="00D00BAF" w:rsidP="000E1BE7">
      <w:pPr>
        <w:pStyle w:val="ListParagraph"/>
        <w:numPr>
          <w:ilvl w:val="0"/>
          <w:numId w:val="2"/>
        </w:numPr>
        <w:rPr>
          <w:rFonts w:cstheme="minorHAnsi"/>
          <w:color w:val="000000" w:themeColor="text1"/>
          <w:lang w:val="nl-BE"/>
        </w:rPr>
      </w:pPr>
      <w:r w:rsidRPr="009D04C3">
        <w:rPr>
          <w:rFonts w:cstheme="minorHAnsi"/>
          <w:color w:val="000000" w:themeColor="text1"/>
          <w:lang w:val="nl-BE"/>
        </w:rPr>
        <w:t xml:space="preserve">Circular </w:t>
      </w:r>
      <w:r w:rsidRPr="003D0C26">
        <w:rPr>
          <w:rFonts w:cstheme="minorHAnsi"/>
          <w:color w:val="000000" w:themeColor="text1"/>
          <w:lang w:val="nl-BE"/>
        </w:rPr>
        <w:t>Business Awards</w:t>
      </w:r>
      <w:r w:rsidR="000251C4" w:rsidRPr="003D0C26">
        <w:rPr>
          <w:rFonts w:cstheme="minorHAnsi"/>
          <w:color w:val="000000" w:themeColor="text1"/>
          <w:lang w:val="nl-BE"/>
        </w:rPr>
        <w:t xml:space="preserve">: </w:t>
      </w:r>
      <w:r w:rsidR="009D04C3" w:rsidRPr="003D0C26">
        <w:rPr>
          <w:rFonts w:cstheme="minorHAnsi"/>
          <w:color w:val="000000" w:themeColor="text1"/>
          <w:shd w:val="clear" w:color="auto" w:fill="FFFFFF"/>
          <w:lang w:val="nl-BE"/>
        </w:rPr>
        <w:t>Met de Circular Business Awards wil het VBO ondernemingen belonen die met succes een circulair businessmodel omarmd hebben</w:t>
      </w:r>
      <w:r w:rsidR="003D0C26">
        <w:rPr>
          <w:rFonts w:cstheme="minorHAnsi"/>
          <w:color w:val="000000" w:themeColor="text1"/>
          <w:shd w:val="clear" w:color="auto" w:fill="FFFFFF"/>
          <w:lang w:val="nl-BE"/>
        </w:rPr>
        <w:t>.</w:t>
      </w:r>
    </w:p>
    <w:p w14:paraId="5ACFE8FD" w14:textId="2946EEAD" w:rsidR="00D00BAF" w:rsidRPr="00F06098" w:rsidRDefault="00D00BAF" w:rsidP="000E1BE7">
      <w:pPr>
        <w:pStyle w:val="ListParagraph"/>
        <w:numPr>
          <w:ilvl w:val="0"/>
          <w:numId w:val="2"/>
        </w:numPr>
        <w:rPr>
          <w:rFonts w:cstheme="minorHAnsi"/>
          <w:lang w:val="nl-BE"/>
        </w:rPr>
      </w:pPr>
      <w:r w:rsidRPr="00F06098">
        <w:rPr>
          <w:rFonts w:cstheme="minorHAnsi"/>
          <w:lang w:val="nl-BE"/>
        </w:rPr>
        <w:t xml:space="preserve">Circular </w:t>
      </w:r>
      <w:r w:rsidR="001C0692" w:rsidRPr="00F06098">
        <w:rPr>
          <w:rFonts w:cstheme="minorHAnsi"/>
          <w:lang w:val="nl-BE"/>
        </w:rPr>
        <w:t>H</w:t>
      </w:r>
      <w:r w:rsidRPr="00F06098">
        <w:rPr>
          <w:rFonts w:cstheme="minorHAnsi"/>
          <w:lang w:val="nl-BE"/>
        </w:rPr>
        <w:t xml:space="preserve">otel </w:t>
      </w:r>
      <w:r w:rsidR="001C0692" w:rsidRPr="00F06098">
        <w:rPr>
          <w:rFonts w:cstheme="minorHAnsi"/>
          <w:lang w:val="nl-BE"/>
        </w:rPr>
        <w:t>I</w:t>
      </w:r>
      <w:r w:rsidRPr="00F06098">
        <w:rPr>
          <w:rFonts w:cstheme="minorHAnsi"/>
          <w:lang w:val="nl-BE"/>
        </w:rPr>
        <w:t>nterior</w:t>
      </w:r>
      <w:r w:rsidR="009D04C3" w:rsidRPr="00F06098">
        <w:rPr>
          <w:rFonts w:cstheme="minorHAnsi"/>
          <w:lang w:val="nl-BE"/>
        </w:rPr>
        <w:t xml:space="preserve">: </w:t>
      </w:r>
      <w:r w:rsidR="009D04C3" w:rsidRPr="00F06098">
        <w:rPr>
          <w:rFonts w:cstheme="minorHAnsi"/>
          <w:color w:val="000000"/>
          <w:shd w:val="clear" w:color="auto" w:fill="FFFFFF"/>
          <w:lang w:val="nl-BE"/>
        </w:rPr>
        <w:t>Het certificeringsmerk wil u helpen de bomen door het bos te zien in het aanbod aan circulaire interieuroplossingen voor het hotelwezen aan de hand van een objectieve certificering van interieur-, meubel</w:t>
      </w:r>
      <w:r w:rsidR="001C0692" w:rsidRPr="00F06098">
        <w:rPr>
          <w:rFonts w:cstheme="minorHAnsi"/>
          <w:color w:val="000000"/>
          <w:shd w:val="clear" w:color="auto" w:fill="FFFFFF"/>
          <w:lang w:val="nl-BE"/>
        </w:rPr>
        <w:t>-</w:t>
      </w:r>
      <w:r w:rsidR="009D04C3" w:rsidRPr="00F06098">
        <w:rPr>
          <w:rFonts w:cstheme="minorHAnsi"/>
          <w:color w:val="000000"/>
          <w:shd w:val="clear" w:color="auto" w:fill="FFFFFF"/>
          <w:lang w:val="nl-BE"/>
        </w:rPr>
        <w:t xml:space="preserve"> en textielproducten gericht naar de hotelsector.</w:t>
      </w:r>
    </w:p>
    <w:p w14:paraId="6C6EE7FA" w14:textId="4F7E5B1B" w:rsidR="00D00BAF" w:rsidRPr="009D04C3" w:rsidRDefault="00D00BAF" w:rsidP="000E1BE7">
      <w:pPr>
        <w:pStyle w:val="ListParagraph"/>
        <w:numPr>
          <w:ilvl w:val="0"/>
          <w:numId w:val="2"/>
        </w:numPr>
        <w:rPr>
          <w:rFonts w:cstheme="minorHAnsi"/>
          <w:lang w:val="nl-BE"/>
        </w:rPr>
      </w:pPr>
      <w:r w:rsidRPr="009D04C3">
        <w:rPr>
          <w:rFonts w:cstheme="minorHAnsi"/>
          <w:lang w:val="nl-BE"/>
        </w:rPr>
        <w:t>Valumat</w:t>
      </w:r>
      <w:r w:rsidR="009D04C3">
        <w:rPr>
          <w:rFonts w:cstheme="minorHAnsi"/>
          <w:lang w:val="nl-BE"/>
        </w:rPr>
        <w:t>:</w:t>
      </w:r>
      <w:r w:rsidR="003D0C26">
        <w:rPr>
          <w:rFonts w:cstheme="minorHAnsi"/>
          <w:lang w:val="nl-BE"/>
        </w:rPr>
        <w:t xml:space="preserve"> Het aanreiken van richtlijnen voor het fabriceren van circulaire matrassen en meer.</w:t>
      </w:r>
    </w:p>
    <w:p w14:paraId="52946355" w14:textId="58B94E3D" w:rsidR="00D00BAF" w:rsidRPr="007239E7" w:rsidRDefault="00D00BAF" w:rsidP="007239E7">
      <w:pPr>
        <w:pStyle w:val="ListParagraph"/>
        <w:numPr>
          <w:ilvl w:val="0"/>
          <w:numId w:val="2"/>
        </w:numPr>
        <w:rPr>
          <w:rFonts w:cstheme="minorHAnsi"/>
          <w:lang w:val="nl-BE"/>
        </w:rPr>
      </w:pPr>
      <w:r w:rsidRPr="009D04C3">
        <w:rPr>
          <w:rFonts w:cstheme="minorHAnsi"/>
          <w:lang w:val="nl-BE"/>
        </w:rPr>
        <w:t>PEFC</w:t>
      </w:r>
      <w:r w:rsidR="003D0C26">
        <w:rPr>
          <w:rFonts w:cstheme="minorHAnsi"/>
          <w:lang w:val="nl-BE"/>
        </w:rPr>
        <w:t>: PEFC ontwikkelde een online</w:t>
      </w:r>
      <w:r w:rsidRPr="009D04C3">
        <w:rPr>
          <w:rFonts w:cstheme="minorHAnsi"/>
          <w:lang w:val="nl-BE"/>
        </w:rPr>
        <w:t xml:space="preserve"> CO2-calculator </w:t>
      </w:r>
      <w:r w:rsidR="003D0C26">
        <w:rPr>
          <w:rFonts w:cstheme="minorHAnsi"/>
          <w:lang w:val="nl-BE"/>
        </w:rPr>
        <w:t>waarmee de koolstofopslag in houten meubelen kan berekend worden.</w:t>
      </w:r>
    </w:p>
    <w:p w14:paraId="2B887DDC" w14:textId="224275A7" w:rsidR="000E1BE7" w:rsidRDefault="00D00BAF" w:rsidP="00E4208A">
      <w:pPr>
        <w:pStyle w:val="ListParagraph"/>
        <w:numPr>
          <w:ilvl w:val="0"/>
          <w:numId w:val="2"/>
        </w:numPr>
        <w:rPr>
          <w:rFonts w:cstheme="minorHAnsi"/>
          <w:lang w:val="nl-BE"/>
        </w:rPr>
      </w:pPr>
      <w:r w:rsidRPr="009D04C3">
        <w:rPr>
          <w:rFonts w:cstheme="minorHAnsi"/>
          <w:lang w:val="nl-BE"/>
        </w:rPr>
        <w:t xml:space="preserve">Wood.be: </w:t>
      </w:r>
      <w:r w:rsidR="003D1838">
        <w:rPr>
          <w:rFonts w:cstheme="minorHAnsi"/>
          <w:lang w:val="nl-BE"/>
        </w:rPr>
        <w:t>Het o</w:t>
      </w:r>
      <w:r w:rsidR="00E4208A" w:rsidRPr="009D04C3">
        <w:rPr>
          <w:rFonts w:cstheme="minorHAnsi"/>
          <w:lang w:val="nl-BE"/>
        </w:rPr>
        <w:t xml:space="preserve">ndersteunen </w:t>
      </w:r>
      <w:r w:rsidR="003D1838">
        <w:rPr>
          <w:rFonts w:cstheme="minorHAnsi"/>
          <w:lang w:val="nl-BE"/>
        </w:rPr>
        <w:t xml:space="preserve">van </w:t>
      </w:r>
      <w:r w:rsidR="00E4208A" w:rsidRPr="009D04C3">
        <w:rPr>
          <w:rFonts w:cstheme="minorHAnsi"/>
          <w:lang w:val="nl-BE"/>
        </w:rPr>
        <w:t>bedrijven bij de transitie naar een circulair beleid</w:t>
      </w:r>
      <w:r w:rsidR="003D1838">
        <w:rPr>
          <w:rFonts w:cstheme="minorHAnsi"/>
          <w:lang w:val="nl-BE"/>
        </w:rPr>
        <w:t>.</w:t>
      </w:r>
    </w:p>
    <w:p w14:paraId="5EEC6004" w14:textId="612284F3" w:rsidR="007239E7" w:rsidRPr="009D04C3" w:rsidRDefault="007239E7" w:rsidP="00E4208A">
      <w:pPr>
        <w:pStyle w:val="ListParagraph"/>
        <w:numPr>
          <w:ilvl w:val="0"/>
          <w:numId w:val="2"/>
        </w:numPr>
        <w:rPr>
          <w:rFonts w:cstheme="minorHAnsi"/>
          <w:lang w:val="nl-BE"/>
        </w:rPr>
      </w:pPr>
      <w:r w:rsidRPr="009D04C3">
        <w:rPr>
          <w:rFonts w:cstheme="minorHAnsi"/>
          <w:lang w:val="nl-BE"/>
        </w:rPr>
        <w:t>WATF</w:t>
      </w:r>
      <w:r>
        <w:rPr>
          <w:rFonts w:cstheme="minorHAnsi"/>
          <w:lang w:val="nl-BE"/>
        </w:rPr>
        <w:t>, stand 4-110</w:t>
      </w:r>
      <w:r w:rsidRPr="009D04C3">
        <w:rPr>
          <w:rFonts w:cstheme="minorHAnsi"/>
          <w:lang w:val="nl-BE"/>
        </w:rPr>
        <w:t xml:space="preserve">: </w:t>
      </w:r>
      <w:r>
        <w:rPr>
          <w:rFonts w:cstheme="minorHAnsi"/>
          <w:lang w:val="nl-BE"/>
        </w:rPr>
        <w:t>Korte presentatie Trendwolves.</w:t>
      </w:r>
    </w:p>
    <w:p w14:paraId="7B389F18" w14:textId="73B4FF03" w:rsidR="004E3E78" w:rsidRDefault="00E4208A">
      <w:pPr>
        <w:rPr>
          <w:lang w:val="nl-BE"/>
        </w:rPr>
      </w:pPr>
      <w:r w:rsidRPr="009D04C3">
        <w:rPr>
          <w:rFonts w:cstheme="minorHAnsi"/>
          <w:lang w:val="nl-BE"/>
        </w:rPr>
        <w:t>Daarnaast probeert de Meubelbeurs zelf haar steentje bij te dragen door middel van</w:t>
      </w:r>
      <w:r w:rsidR="000251C4" w:rsidRPr="009D04C3">
        <w:rPr>
          <w:rFonts w:cstheme="minorHAnsi"/>
          <w:lang w:val="nl-BE"/>
        </w:rPr>
        <w:t xml:space="preserve"> bijvoorbeeld</w:t>
      </w:r>
      <w:r w:rsidRPr="009D04C3">
        <w:rPr>
          <w:rFonts w:cstheme="minorHAnsi"/>
          <w:lang w:val="nl-BE"/>
        </w:rPr>
        <w:t xml:space="preserve"> herbruikbare standbouwelementen</w:t>
      </w:r>
      <w:r w:rsidR="000251C4" w:rsidRPr="009D04C3">
        <w:rPr>
          <w:rFonts w:cstheme="minorHAnsi"/>
          <w:lang w:val="nl-BE"/>
        </w:rPr>
        <w:t xml:space="preserve"> en signalisatie, het verminderen en het </w:t>
      </w:r>
      <w:r w:rsidR="003D1838">
        <w:rPr>
          <w:rFonts w:cstheme="minorHAnsi"/>
          <w:lang w:val="nl-BE"/>
        </w:rPr>
        <w:t>efficiëntiseren</w:t>
      </w:r>
      <w:r w:rsidR="000251C4" w:rsidRPr="009D04C3">
        <w:rPr>
          <w:rFonts w:cstheme="minorHAnsi"/>
          <w:lang w:val="nl-BE"/>
        </w:rPr>
        <w:t xml:space="preserve"> van papieren zendingen, het beperken van prints ter plaatse en natuurlijk ook het bieden van een medium aan de reeds vernoemde actoren</w:t>
      </w:r>
      <w:r w:rsidR="000251C4">
        <w:rPr>
          <w:lang w:val="nl-BE"/>
        </w:rPr>
        <w:t xml:space="preserve"> uit de meubelsector.</w:t>
      </w:r>
    </w:p>
    <w:p w14:paraId="29483D00" w14:textId="77777777" w:rsidR="000251C4" w:rsidRDefault="000251C4">
      <w:pPr>
        <w:rPr>
          <w:b/>
          <w:bCs/>
          <w:lang w:val="nl-BE"/>
        </w:rPr>
      </w:pPr>
    </w:p>
    <w:p w14:paraId="12E3B97D" w14:textId="56CEEEA4" w:rsidR="00EB4C43" w:rsidRDefault="00EE32DD">
      <w:pPr>
        <w:rPr>
          <w:b/>
          <w:bCs/>
          <w:lang w:val="nl-BE"/>
        </w:rPr>
      </w:pPr>
      <w:r>
        <w:rPr>
          <w:b/>
          <w:bCs/>
          <w:lang w:val="nl-BE"/>
        </w:rPr>
        <w:t>De Toekomst van beurzen</w:t>
      </w:r>
    </w:p>
    <w:p w14:paraId="0D6C1518" w14:textId="1B0CA166" w:rsidR="000251C4" w:rsidRDefault="007E1EC7">
      <w:pPr>
        <w:rPr>
          <w:lang w:val="nl-BE"/>
        </w:rPr>
      </w:pPr>
      <w:r w:rsidRPr="007E1EC7">
        <w:rPr>
          <w:lang w:val="nl-BE"/>
        </w:rPr>
        <w:t xml:space="preserve">Bovenop het volgen van </w:t>
      </w:r>
      <w:r>
        <w:rPr>
          <w:lang w:val="nl-BE"/>
        </w:rPr>
        <w:t xml:space="preserve">trends en evoluties binnen de </w:t>
      </w:r>
      <w:r w:rsidR="00086CB1">
        <w:rPr>
          <w:lang w:val="nl-BE"/>
        </w:rPr>
        <w:t>meubel</w:t>
      </w:r>
      <w:r w:rsidR="003D1838">
        <w:rPr>
          <w:lang w:val="nl-BE"/>
        </w:rPr>
        <w:t>-</w:t>
      </w:r>
      <w:r w:rsidR="00086CB1">
        <w:rPr>
          <w:lang w:val="nl-BE"/>
        </w:rPr>
        <w:t xml:space="preserve"> en interieurwereld, moet de beurs als eventorganisator ook kijken naar </w:t>
      </w:r>
      <w:r w:rsidR="003D1838">
        <w:rPr>
          <w:lang w:val="nl-BE"/>
        </w:rPr>
        <w:t>hoe de</w:t>
      </w:r>
      <w:r w:rsidR="00086CB1">
        <w:rPr>
          <w:lang w:val="nl-BE"/>
        </w:rPr>
        <w:t xml:space="preserve"> </w:t>
      </w:r>
      <w:r w:rsidR="000251C4">
        <w:rPr>
          <w:lang w:val="nl-BE"/>
        </w:rPr>
        <w:t>event</w:t>
      </w:r>
      <w:r w:rsidR="00086CB1">
        <w:rPr>
          <w:lang w:val="nl-BE"/>
        </w:rPr>
        <w:t>sector</w:t>
      </w:r>
      <w:r w:rsidR="000251C4">
        <w:rPr>
          <w:lang w:val="nl-BE"/>
        </w:rPr>
        <w:t xml:space="preserve"> zelf</w:t>
      </w:r>
      <w:r w:rsidR="003D1838">
        <w:rPr>
          <w:lang w:val="nl-BE"/>
        </w:rPr>
        <w:t xml:space="preserve"> evolueert</w:t>
      </w:r>
      <w:r w:rsidR="00086CB1">
        <w:rPr>
          <w:lang w:val="nl-BE"/>
        </w:rPr>
        <w:t>.</w:t>
      </w:r>
      <w:r w:rsidR="000251C4">
        <w:rPr>
          <w:lang w:val="nl-BE"/>
        </w:rPr>
        <w:t xml:space="preserve"> Hoe ziet di</w:t>
      </w:r>
      <w:r w:rsidR="00EC6B85">
        <w:rPr>
          <w:lang w:val="nl-BE"/>
        </w:rPr>
        <w:t>é</w:t>
      </w:r>
      <w:r w:rsidR="000251C4">
        <w:rPr>
          <w:lang w:val="nl-BE"/>
        </w:rPr>
        <w:t xml:space="preserve"> toekomst er uit?</w:t>
      </w:r>
      <w:r w:rsidR="00086CB1">
        <w:rPr>
          <w:lang w:val="nl-BE"/>
        </w:rPr>
        <w:t xml:space="preserve"> De laatste jaren werd duidelijk dat ervaringen en beleving een steeds centralere rol spe</w:t>
      </w:r>
      <w:r w:rsidR="000251C4">
        <w:rPr>
          <w:lang w:val="nl-BE"/>
        </w:rPr>
        <w:t>len</w:t>
      </w:r>
      <w:r w:rsidR="00086CB1">
        <w:rPr>
          <w:lang w:val="nl-BE"/>
        </w:rPr>
        <w:t xml:space="preserve"> op events, of het nu B2C of B2B betreft.</w:t>
      </w:r>
    </w:p>
    <w:p w14:paraId="5E026C7C" w14:textId="6880DDF4" w:rsidR="007E1EC7" w:rsidRPr="007E1EC7" w:rsidRDefault="00EC6B85">
      <w:pPr>
        <w:rPr>
          <w:lang w:val="nl-BE"/>
        </w:rPr>
      </w:pPr>
      <w:r>
        <w:rPr>
          <w:lang w:val="nl-BE"/>
        </w:rPr>
        <w:t xml:space="preserve">Daarom heeft de Meubelbeurs nog meer als anders ingezet op een mooie </w:t>
      </w:r>
      <w:r w:rsidR="00086CB1">
        <w:rPr>
          <w:lang w:val="nl-BE"/>
        </w:rPr>
        <w:t>aankleding</w:t>
      </w:r>
      <w:r>
        <w:rPr>
          <w:lang w:val="nl-BE"/>
        </w:rPr>
        <w:t xml:space="preserve"> van de hallen en op het maken van ontdekkingen</w:t>
      </w:r>
      <w:r w:rsidR="00086CB1">
        <w:rPr>
          <w:lang w:val="nl-BE"/>
        </w:rPr>
        <w:t>. Maar</w:t>
      </w:r>
      <w:r w:rsidR="00725053">
        <w:rPr>
          <w:lang w:val="nl-BE"/>
        </w:rPr>
        <w:t xml:space="preserve"> n</w:t>
      </w:r>
      <w:r w:rsidR="00086CB1">
        <w:rPr>
          <w:lang w:val="nl-BE"/>
        </w:rPr>
        <w:t xml:space="preserve">iet ten koste van de kern van de zaak, </w:t>
      </w:r>
      <w:r w:rsidR="00725053">
        <w:rPr>
          <w:lang w:val="nl-BE"/>
        </w:rPr>
        <w:t>namelijk</w:t>
      </w:r>
      <w:r w:rsidR="00086CB1">
        <w:rPr>
          <w:lang w:val="nl-BE"/>
        </w:rPr>
        <w:t xml:space="preserve"> goede business. Om </w:t>
      </w:r>
      <w:r>
        <w:rPr>
          <w:lang w:val="nl-BE"/>
        </w:rPr>
        <w:t>dit</w:t>
      </w:r>
      <w:r w:rsidR="00086CB1">
        <w:rPr>
          <w:lang w:val="nl-BE"/>
        </w:rPr>
        <w:t xml:space="preserve"> te vrijwaren werden middelen gezocht op nieuwe plaatsen</w:t>
      </w:r>
      <w:r>
        <w:rPr>
          <w:lang w:val="nl-BE"/>
        </w:rPr>
        <w:t xml:space="preserve">. Bijvoorbeeld aan de hand </w:t>
      </w:r>
      <w:r w:rsidRPr="004D7E35">
        <w:rPr>
          <w:lang w:val="nl-BE"/>
        </w:rPr>
        <w:t>van</w:t>
      </w:r>
      <w:r w:rsidR="00086CB1" w:rsidRPr="004D7E35">
        <w:rPr>
          <w:lang w:val="nl-BE"/>
        </w:rPr>
        <w:t xml:space="preserve"> samenwerkingen met exposanten van de winkel van morgen of door nieuwe reclameopportuniteiten </w:t>
      </w:r>
      <w:r w:rsidRPr="004D7E35">
        <w:rPr>
          <w:lang w:val="nl-BE"/>
        </w:rPr>
        <w:t>te creëren</w:t>
      </w:r>
      <w:r w:rsidR="008A623B" w:rsidRPr="004D7E35">
        <w:rPr>
          <w:lang w:val="nl-BE"/>
        </w:rPr>
        <w:t>.</w:t>
      </w:r>
      <w:r w:rsidR="00F041A4" w:rsidRPr="004D7E35">
        <w:rPr>
          <w:lang w:val="nl-BE"/>
        </w:rPr>
        <w:t xml:space="preserve"> </w:t>
      </w:r>
      <w:r w:rsidR="004D7E35" w:rsidRPr="004D7E35">
        <w:rPr>
          <w:lang w:val="nl-BE"/>
        </w:rPr>
        <w:t xml:space="preserve">Binnen dit kader werd ook de </w:t>
      </w:r>
      <w:r w:rsidR="00B34ED7">
        <w:rPr>
          <w:lang w:val="nl-BE"/>
        </w:rPr>
        <w:t>‘</w:t>
      </w:r>
      <w:r w:rsidR="004D7E35" w:rsidRPr="004D7E35">
        <w:rPr>
          <w:lang w:val="nl-BE"/>
        </w:rPr>
        <w:t>press reading corner</w:t>
      </w:r>
      <w:r w:rsidR="00B34ED7">
        <w:rPr>
          <w:lang w:val="nl-BE"/>
        </w:rPr>
        <w:t>’</w:t>
      </w:r>
      <w:r w:rsidR="004D7E35" w:rsidRPr="004D7E35">
        <w:rPr>
          <w:lang w:val="nl-BE"/>
        </w:rPr>
        <w:t xml:space="preserve"> aangekleed in samen</w:t>
      </w:r>
      <w:r w:rsidR="00F041A4" w:rsidRPr="004D7E35">
        <w:rPr>
          <w:lang w:val="nl-BE"/>
        </w:rPr>
        <w:t xml:space="preserve">werking met </w:t>
      </w:r>
      <w:r w:rsidR="002E7FA9">
        <w:rPr>
          <w:lang w:val="nl-BE"/>
        </w:rPr>
        <w:t xml:space="preserve">de exposant </w:t>
      </w:r>
      <w:r w:rsidR="00F041A4" w:rsidRPr="004D7E35">
        <w:rPr>
          <w:lang w:val="nl-BE"/>
        </w:rPr>
        <w:t>Rom</w:t>
      </w:r>
      <w:r w:rsidR="008F3D35">
        <w:rPr>
          <w:lang w:val="nl-BE"/>
        </w:rPr>
        <w:t>, en de champagnebar er net naast in samenwerking met Drappier.</w:t>
      </w:r>
    </w:p>
    <w:p w14:paraId="7F510165" w14:textId="34F09A1E" w:rsidR="00D74336" w:rsidRDefault="002E7FA9" w:rsidP="00B73AA3">
      <w:pPr>
        <w:rPr>
          <w:lang w:val="nl-BE"/>
        </w:rPr>
      </w:pPr>
      <w:r w:rsidRPr="002E7FA9">
        <w:rPr>
          <w:lang w:val="nl-BE"/>
        </w:rPr>
        <w:t>Wanneer we kijken naar de toekomst van de Meubelbeurs als event</w:t>
      </w:r>
      <w:r w:rsidR="00B34ED7">
        <w:rPr>
          <w:lang w:val="nl-BE"/>
        </w:rPr>
        <w:t xml:space="preserve">, wordt de focus ook gericht naar de manier </w:t>
      </w:r>
      <w:r w:rsidR="00B73AA3">
        <w:rPr>
          <w:lang w:val="nl-BE"/>
        </w:rPr>
        <w:t>waarop</w:t>
      </w:r>
      <w:r w:rsidR="00B34ED7">
        <w:rPr>
          <w:lang w:val="nl-BE"/>
        </w:rPr>
        <w:t xml:space="preserve"> informatie te</w:t>
      </w:r>
      <w:r w:rsidR="00B73AA3">
        <w:rPr>
          <w:lang w:val="nl-BE"/>
        </w:rPr>
        <w:t>r plaatse gedeeld wordt</w:t>
      </w:r>
      <w:r w:rsidR="00B34ED7">
        <w:rPr>
          <w:lang w:val="nl-BE"/>
        </w:rPr>
        <w:t xml:space="preserve">. Hierbij is het belangrijk </w:t>
      </w:r>
      <w:r w:rsidR="00B73AA3">
        <w:rPr>
          <w:lang w:val="nl-BE"/>
        </w:rPr>
        <w:t>om een goeie mix</w:t>
      </w:r>
      <w:r w:rsidR="00725053">
        <w:rPr>
          <w:lang w:val="nl-BE"/>
        </w:rPr>
        <w:t xml:space="preserve"> te vinden</w:t>
      </w:r>
      <w:r w:rsidR="00B73AA3">
        <w:rPr>
          <w:lang w:val="nl-BE"/>
        </w:rPr>
        <w:t xml:space="preserve"> tussen digitaal en fysiek. Namelijk het juiste middel, voor de juiste content, afhankelijk </w:t>
      </w:r>
      <w:r w:rsidR="00B73AA3">
        <w:rPr>
          <w:lang w:val="nl-BE"/>
        </w:rPr>
        <w:lastRenderedPageBreak/>
        <w:t>van het moment van verspreiding. Dat het BE-magazine bijvoorbeeld ingewisseld werd voor een blog met nieuwsbrief, terwijl er opnieuw een fysiek krantje wordt verdeeld op de beursvloer is daarom heus geen toeval</w:t>
      </w:r>
      <w:r w:rsidR="00725053">
        <w:rPr>
          <w:lang w:val="nl-BE"/>
        </w:rPr>
        <w:t>, maar een weloverwogen keuze.</w:t>
      </w:r>
    </w:p>
    <w:p w14:paraId="273D1E04" w14:textId="77777777" w:rsidR="0070085D" w:rsidRDefault="0070085D" w:rsidP="00B73AA3">
      <w:pPr>
        <w:rPr>
          <w:b/>
          <w:bCs/>
          <w:lang w:val="nl-BE"/>
        </w:rPr>
      </w:pPr>
    </w:p>
    <w:p w14:paraId="4CA0A85F" w14:textId="39F2809F" w:rsidR="00B73AA3" w:rsidRDefault="00B73AA3" w:rsidP="00B73AA3">
      <w:pPr>
        <w:rPr>
          <w:b/>
          <w:bCs/>
          <w:lang w:val="nl-BE"/>
        </w:rPr>
      </w:pPr>
      <w:r w:rsidRPr="00B73AA3">
        <w:rPr>
          <w:b/>
          <w:bCs/>
          <w:lang w:val="nl-BE"/>
        </w:rPr>
        <w:t>De Meubelbeurs Brussel 2023 in cijfers</w:t>
      </w:r>
    </w:p>
    <w:p w14:paraId="15DF83DD" w14:textId="51844A9B" w:rsidR="002D4DA4" w:rsidRPr="00D307B5" w:rsidRDefault="002D4DA4" w:rsidP="00B73AA3">
      <w:pPr>
        <w:rPr>
          <w:lang w:val="nl-BE"/>
        </w:rPr>
      </w:pPr>
      <w:r w:rsidRPr="002D4DA4">
        <w:rPr>
          <w:lang w:val="nl-BE"/>
        </w:rPr>
        <w:t>De Meubelbeurs 2023 wordt, onder meer, gekenmerkt door enkele verschuivingen va</w:t>
      </w:r>
      <w:r>
        <w:rPr>
          <w:lang w:val="nl-BE"/>
        </w:rPr>
        <w:t xml:space="preserve">n trouwe standhouders. </w:t>
      </w:r>
      <w:r w:rsidR="00D307B5">
        <w:rPr>
          <w:lang w:val="nl-BE"/>
        </w:rPr>
        <w:t>Calia Italia vond een nieuwe plaats in hal 4, net als Passe Partout en Recor</w:t>
      </w:r>
      <w:r w:rsidR="00725053">
        <w:rPr>
          <w:lang w:val="nl-BE"/>
        </w:rPr>
        <w:t xml:space="preserve"> Group</w:t>
      </w:r>
      <w:r w:rsidR="00D307B5">
        <w:rPr>
          <w:lang w:val="nl-BE"/>
        </w:rPr>
        <w:t xml:space="preserve">. Hierdoor kwam er heel wat plaats vrij in hallen 5 en 3, waar verschillende nieuwe namen deze kwam invullen. </w:t>
      </w:r>
      <w:r w:rsidR="00D307B5" w:rsidRPr="00D307B5">
        <w:rPr>
          <w:lang w:val="nl-BE"/>
        </w:rPr>
        <w:t xml:space="preserve">Met Yac, Saunaco, WR Inspired, Poleposition, Aquinos, Beka en Girardeau kent hal 5 </w:t>
      </w:r>
      <w:r w:rsidR="00D307B5">
        <w:rPr>
          <w:lang w:val="nl-BE"/>
        </w:rPr>
        <w:t>het grootst aantal wijzigingen in meer dan 20 jaar. We hopen dat dit ook voor een nieuwe dynamiek zal zorgen bij de bezoekers.</w:t>
      </w:r>
      <w:r w:rsidR="00D307B5" w:rsidRPr="00D307B5">
        <w:rPr>
          <w:lang w:val="nl-BE"/>
        </w:rPr>
        <w:t xml:space="preserve"> </w:t>
      </w:r>
      <w:r w:rsidR="00C01F53">
        <w:rPr>
          <w:lang w:val="nl-BE"/>
        </w:rPr>
        <w:t>Ook in hal 3 beweegde er heel wat, met een aantal nieuwe exposanten.</w:t>
      </w:r>
    </w:p>
    <w:tbl>
      <w:tblPr>
        <w:tblW w:w="7836" w:type="dxa"/>
        <w:tblCellMar>
          <w:left w:w="70" w:type="dxa"/>
          <w:right w:w="70" w:type="dxa"/>
        </w:tblCellMar>
        <w:tblLook w:val="04A0" w:firstRow="1" w:lastRow="0" w:firstColumn="1" w:lastColumn="0" w:noHBand="0" w:noVBand="1"/>
      </w:tblPr>
      <w:tblGrid>
        <w:gridCol w:w="2616"/>
        <w:gridCol w:w="1289"/>
        <w:gridCol w:w="146"/>
        <w:gridCol w:w="146"/>
        <w:gridCol w:w="2616"/>
        <w:gridCol w:w="1289"/>
        <w:gridCol w:w="146"/>
      </w:tblGrid>
      <w:tr w:rsidR="000D4D98" w:rsidRPr="000D4D98" w14:paraId="238AE2BB" w14:textId="77777777" w:rsidTr="000D4D98">
        <w:trPr>
          <w:gridAfter w:val="1"/>
          <w:wAfter w:w="36" w:type="dxa"/>
          <w:trHeight w:val="537"/>
        </w:trPr>
        <w:tc>
          <w:tcPr>
            <w:tcW w:w="7800"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A24DEF9" w14:textId="1AB6DCD2" w:rsidR="000D4D98" w:rsidRPr="000D4D98" w:rsidRDefault="000D4D98" w:rsidP="000D4D98">
            <w:pPr>
              <w:spacing w:after="0" w:line="240" w:lineRule="auto"/>
              <w:jc w:val="center"/>
              <w:rPr>
                <w:rFonts w:ascii="Calibri" w:eastAsia="Times New Roman" w:hAnsi="Calibri" w:cs="Calibri"/>
                <w:color w:val="000000"/>
                <w:sz w:val="44"/>
                <w:szCs w:val="44"/>
                <w:lang w:eastAsia="fr-BE"/>
              </w:rPr>
            </w:pPr>
            <w:r w:rsidRPr="000D4D98">
              <w:rPr>
                <w:rFonts w:ascii="Calibri" w:eastAsia="Times New Roman" w:hAnsi="Calibri" w:cs="Calibri"/>
                <w:color w:val="000000"/>
                <w:sz w:val="44"/>
                <w:szCs w:val="44"/>
                <w:lang w:eastAsia="fr-BE"/>
              </w:rPr>
              <w:t>2023</w:t>
            </w:r>
            <w:r>
              <w:rPr>
                <w:rFonts w:ascii="Calibri" w:eastAsia="Times New Roman" w:hAnsi="Calibri" w:cs="Calibri"/>
                <w:color w:val="000000"/>
                <w:sz w:val="44"/>
                <w:szCs w:val="44"/>
                <w:lang w:eastAsia="fr-BE"/>
              </w:rPr>
              <w:t xml:space="preserve"> - Nationaliteiten</w:t>
            </w:r>
          </w:p>
        </w:tc>
      </w:tr>
      <w:tr w:rsidR="000D4D98" w:rsidRPr="000D4D98" w14:paraId="6497BEF7" w14:textId="77777777" w:rsidTr="000D4D98">
        <w:trPr>
          <w:trHeight w:val="315"/>
        </w:trPr>
        <w:tc>
          <w:tcPr>
            <w:tcW w:w="7800" w:type="dxa"/>
            <w:gridSpan w:val="6"/>
            <w:vMerge/>
            <w:tcBorders>
              <w:top w:val="single" w:sz="8" w:space="0" w:color="auto"/>
              <w:left w:val="single" w:sz="8" w:space="0" w:color="auto"/>
              <w:bottom w:val="single" w:sz="8" w:space="0" w:color="000000"/>
              <w:right w:val="single" w:sz="8" w:space="0" w:color="000000"/>
            </w:tcBorders>
            <w:vAlign w:val="center"/>
            <w:hideMark/>
          </w:tcPr>
          <w:p w14:paraId="2228E578" w14:textId="77777777" w:rsidR="000D4D98" w:rsidRPr="000D4D98" w:rsidRDefault="000D4D98" w:rsidP="000D4D98">
            <w:pPr>
              <w:spacing w:after="0" w:line="240" w:lineRule="auto"/>
              <w:rPr>
                <w:rFonts w:ascii="Calibri" w:eastAsia="Times New Roman" w:hAnsi="Calibri" w:cs="Calibri"/>
                <w:color w:val="000000"/>
                <w:sz w:val="44"/>
                <w:szCs w:val="44"/>
                <w:lang w:eastAsia="fr-BE"/>
              </w:rPr>
            </w:pPr>
          </w:p>
        </w:tc>
        <w:tc>
          <w:tcPr>
            <w:tcW w:w="36" w:type="dxa"/>
            <w:tcBorders>
              <w:top w:val="nil"/>
              <w:left w:val="nil"/>
              <w:bottom w:val="nil"/>
              <w:right w:val="nil"/>
            </w:tcBorders>
            <w:shd w:val="clear" w:color="auto" w:fill="auto"/>
            <w:noWrap/>
            <w:vAlign w:val="bottom"/>
            <w:hideMark/>
          </w:tcPr>
          <w:p w14:paraId="15F7F5A7" w14:textId="77777777" w:rsidR="000D4D98" w:rsidRPr="000D4D98" w:rsidRDefault="000D4D98" w:rsidP="000D4D98">
            <w:pPr>
              <w:spacing w:after="0" w:line="240" w:lineRule="auto"/>
              <w:jc w:val="center"/>
              <w:rPr>
                <w:rFonts w:ascii="Calibri" w:eastAsia="Times New Roman" w:hAnsi="Calibri" w:cs="Calibri"/>
                <w:color w:val="000000"/>
                <w:sz w:val="44"/>
                <w:szCs w:val="44"/>
                <w:lang w:eastAsia="fr-BE"/>
              </w:rPr>
            </w:pPr>
          </w:p>
        </w:tc>
      </w:tr>
      <w:tr w:rsidR="000D4D98" w:rsidRPr="000D4D98" w14:paraId="235BD689" w14:textId="77777777" w:rsidTr="000D4D98">
        <w:trPr>
          <w:trHeight w:val="315"/>
        </w:trPr>
        <w:tc>
          <w:tcPr>
            <w:tcW w:w="2616" w:type="dxa"/>
            <w:tcBorders>
              <w:top w:val="nil"/>
              <w:left w:val="single" w:sz="8" w:space="0" w:color="auto"/>
              <w:bottom w:val="single" w:sz="8" w:space="0" w:color="auto"/>
              <w:right w:val="nil"/>
            </w:tcBorders>
            <w:shd w:val="clear" w:color="auto" w:fill="auto"/>
            <w:noWrap/>
            <w:vAlign w:val="bottom"/>
            <w:hideMark/>
          </w:tcPr>
          <w:p w14:paraId="2C85E585" w14:textId="45BFF913" w:rsidR="000D4D98" w:rsidRPr="000D4D98" w:rsidRDefault="003A54DB" w:rsidP="000D4D98">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Land van oorsprong</w:t>
            </w: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27C2E65A" w14:textId="3E73D187" w:rsidR="000D4D98" w:rsidRPr="000D4D98" w:rsidRDefault="000D4D98" w:rsidP="000D4D98">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Hoeveelheid</w:t>
            </w:r>
          </w:p>
        </w:tc>
        <w:tc>
          <w:tcPr>
            <w:tcW w:w="53" w:type="dxa"/>
            <w:tcBorders>
              <w:top w:val="nil"/>
              <w:left w:val="nil"/>
              <w:bottom w:val="nil"/>
              <w:right w:val="nil"/>
            </w:tcBorders>
            <w:shd w:val="clear" w:color="auto" w:fill="auto"/>
            <w:noWrap/>
            <w:vAlign w:val="bottom"/>
            <w:hideMark/>
          </w:tcPr>
          <w:p w14:paraId="7B0BC5A9" w14:textId="77777777" w:rsidR="000D4D98" w:rsidRPr="000D4D98" w:rsidRDefault="000D4D98" w:rsidP="000D4D98">
            <w:pPr>
              <w:spacing w:after="0" w:line="240" w:lineRule="auto"/>
              <w:rPr>
                <w:rFonts w:ascii="Calibri" w:eastAsia="Times New Roman" w:hAnsi="Calibri" w:cs="Calibri"/>
                <w:b/>
                <w:bCs/>
                <w:color w:val="000000"/>
                <w:lang w:eastAsia="fr-BE"/>
              </w:rPr>
            </w:pPr>
          </w:p>
        </w:tc>
        <w:tc>
          <w:tcPr>
            <w:tcW w:w="53" w:type="dxa"/>
            <w:tcBorders>
              <w:top w:val="nil"/>
              <w:left w:val="nil"/>
              <w:bottom w:val="nil"/>
              <w:right w:val="nil"/>
            </w:tcBorders>
            <w:shd w:val="clear" w:color="auto" w:fill="auto"/>
            <w:noWrap/>
            <w:vAlign w:val="bottom"/>
            <w:hideMark/>
          </w:tcPr>
          <w:p w14:paraId="0DAAE2BA"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8" w:space="0" w:color="auto"/>
              <w:right w:val="nil"/>
            </w:tcBorders>
            <w:shd w:val="clear" w:color="auto" w:fill="auto"/>
            <w:noWrap/>
            <w:vAlign w:val="bottom"/>
            <w:hideMark/>
          </w:tcPr>
          <w:p w14:paraId="6FC8B6A2" w14:textId="7C039EF3" w:rsidR="000D4D98" w:rsidRPr="000D4D98" w:rsidRDefault="003A54DB" w:rsidP="000D4D98">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Land van oorsprong</w:t>
            </w: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0213667B" w14:textId="399CFA36" w:rsidR="000D4D98" w:rsidRPr="000D4D98" w:rsidRDefault="000D4D98" w:rsidP="000D4D98">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Hoeveelheid</w:t>
            </w:r>
          </w:p>
        </w:tc>
        <w:tc>
          <w:tcPr>
            <w:tcW w:w="36" w:type="dxa"/>
            <w:vAlign w:val="center"/>
            <w:hideMark/>
          </w:tcPr>
          <w:p w14:paraId="3D4F3973"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47BA5522"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15420383"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België</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08D85D8"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79</w:t>
            </w:r>
          </w:p>
        </w:tc>
        <w:tc>
          <w:tcPr>
            <w:tcW w:w="53" w:type="dxa"/>
            <w:tcBorders>
              <w:top w:val="nil"/>
              <w:left w:val="nil"/>
              <w:bottom w:val="nil"/>
              <w:right w:val="nil"/>
            </w:tcBorders>
            <w:shd w:val="clear" w:color="auto" w:fill="auto"/>
            <w:noWrap/>
            <w:vAlign w:val="bottom"/>
            <w:hideMark/>
          </w:tcPr>
          <w:p w14:paraId="70546D5B"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71F43D9B"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41EC65C2"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België</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508A675"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79</w:t>
            </w:r>
          </w:p>
        </w:tc>
        <w:tc>
          <w:tcPr>
            <w:tcW w:w="36" w:type="dxa"/>
            <w:vAlign w:val="center"/>
            <w:hideMark/>
          </w:tcPr>
          <w:p w14:paraId="57E6AE5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3B622EC1"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5260CEEB"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China</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6EEF7D8"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53" w:type="dxa"/>
            <w:tcBorders>
              <w:top w:val="nil"/>
              <w:left w:val="nil"/>
              <w:bottom w:val="nil"/>
              <w:right w:val="nil"/>
            </w:tcBorders>
            <w:shd w:val="clear" w:color="auto" w:fill="auto"/>
            <w:noWrap/>
            <w:vAlign w:val="bottom"/>
            <w:hideMark/>
          </w:tcPr>
          <w:p w14:paraId="78A6F793"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874C800"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73297CBE"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Nederland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9A36F93"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75</w:t>
            </w:r>
          </w:p>
        </w:tc>
        <w:tc>
          <w:tcPr>
            <w:tcW w:w="36" w:type="dxa"/>
            <w:vAlign w:val="center"/>
            <w:hideMark/>
          </w:tcPr>
          <w:p w14:paraId="2DFC1945"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2F5B1BE1"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40A86EEA"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Denemarken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8B3E7D1"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48D10A7A"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168BC416"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0AEE4AB3"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Duitsland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2B46C2C"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17</w:t>
            </w:r>
          </w:p>
        </w:tc>
        <w:tc>
          <w:tcPr>
            <w:tcW w:w="36" w:type="dxa"/>
            <w:vAlign w:val="center"/>
            <w:hideMark/>
          </w:tcPr>
          <w:p w14:paraId="0EA6C834"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04A069B8"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554947ED"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Duitsland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75929FC"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53" w:type="dxa"/>
            <w:tcBorders>
              <w:top w:val="nil"/>
              <w:left w:val="nil"/>
              <w:bottom w:val="nil"/>
              <w:right w:val="nil"/>
            </w:tcBorders>
            <w:shd w:val="clear" w:color="auto" w:fill="auto"/>
            <w:noWrap/>
            <w:vAlign w:val="bottom"/>
            <w:hideMark/>
          </w:tcPr>
          <w:p w14:paraId="32AC8F0D"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20F8ABC8"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7EE2EB1F"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Italië</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26311CD"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12</w:t>
            </w:r>
          </w:p>
        </w:tc>
        <w:tc>
          <w:tcPr>
            <w:tcW w:w="36" w:type="dxa"/>
            <w:vAlign w:val="center"/>
            <w:hideMark/>
          </w:tcPr>
          <w:p w14:paraId="0DAEC3F6"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51BA83F4"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190477E9"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Frankrijk</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5B78E4BC"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53" w:type="dxa"/>
            <w:tcBorders>
              <w:top w:val="nil"/>
              <w:left w:val="nil"/>
              <w:bottom w:val="nil"/>
              <w:right w:val="nil"/>
            </w:tcBorders>
            <w:shd w:val="clear" w:color="auto" w:fill="auto"/>
            <w:noWrap/>
            <w:vAlign w:val="bottom"/>
            <w:hideMark/>
          </w:tcPr>
          <w:p w14:paraId="47EBD7E3"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DC60644"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70EB40A2"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Polen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0C1B7034"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8</w:t>
            </w:r>
          </w:p>
        </w:tc>
        <w:tc>
          <w:tcPr>
            <w:tcW w:w="36" w:type="dxa"/>
            <w:vAlign w:val="center"/>
            <w:hideMark/>
          </w:tcPr>
          <w:p w14:paraId="13AC3D5B"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332E191F"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7B6514CF"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Italië</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FDC3BFD"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17</w:t>
            </w:r>
          </w:p>
        </w:tc>
        <w:tc>
          <w:tcPr>
            <w:tcW w:w="53" w:type="dxa"/>
            <w:tcBorders>
              <w:top w:val="nil"/>
              <w:left w:val="nil"/>
              <w:bottom w:val="nil"/>
              <w:right w:val="nil"/>
            </w:tcBorders>
            <w:shd w:val="clear" w:color="auto" w:fill="auto"/>
            <w:noWrap/>
            <w:vAlign w:val="bottom"/>
            <w:hideMark/>
          </w:tcPr>
          <w:p w14:paraId="6EF63D3D"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77982F63"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245EEE44"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Frankrijk</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8E75F92"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36" w:type="dxa"/>
            <w:vAlign w:val="center"/>
            <w:hideMark/>
          </w:tcPr>
          <w:p w14:paraId="0F4A5F13"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71E4DA04"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0A867D1A"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Kroatië</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47A02D1"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12</w:t>
            </w:r>
          </w:p>
        </w:tc>
        <w:tc>
          <w:tcPr>
            <w:tcW w:w="53" w:type="dxa"/>
            <w:tcBorders>
              <w:top w:val="nil"/>
              <w:left w:val="nil"/>
              <w:bottom w:val="nil"/>
              <w:right w:val="nil"/>
            </w:tcBorders>
            <w:shd w:val="clear" w:color="auto" w:fill="auto"/>
            <w:noWrap/>
            <w:vAlign w:val="bottom"/>
            <w:hideMark/>
          </w:tcPr>
          <w:p w14:paraId="37CB0ADB"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036C41DD"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6B2767A4"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Litouwen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1BFECCC"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36" w:type="dxa"/>
            <w:vAlign w:val="center"/>
            <w:hideMark/>
          </w:tcPr>
          <w:p w14:paraId="1AEC2F7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231B2881"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738CAEBB"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Letland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7182FB2"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75EAB1ED"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47B8D173"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18480877"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Denemarken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E796EFC"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36" w:type="dxa"/>
            <w:vAlign w:val="center"/>
            <w:hideMark/>
          </w:tcPr>
          <w:p w14:paraId="33A38467"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6B495502"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63EDA278"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Litouwen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E7ECBFB"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53" w:type="dxa"/>
            <w:tcBorders>
              <w:top w:val="nil"/>
              <w:left w:val="nil"/>
              <w:bottom w:val="nil"/>
              <w:right w:val="nil"/>
            </w:tcBorders>
            <w:shd w:val="clear" w:color="auto" w:fill="auto"/>
            <w:noWrap/>
            <w:vAlign w:val="bottom"/>
            <w:hideMark/>
          </w:tcPr>
          <w:p w14:paraId="516435B9"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0C6DD65F"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6CC5BE05"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Turkije</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917B8E7"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36" w:type="dxa"/>
            <w:vAlign w:val="center"/>
            <w:hideMark/>
          </w:tcPr>
          <w:p w14:paraId="1E1D761F"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376B7CB8"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774F0E15"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Mauritius</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EDC2C3F"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4F9A4706"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6CA39EB9"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5C0D0E79"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Zweden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BF12E1E"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4</w:t>
            </w:r>
          </w:p>
        </w:tc>
        <w:tc>
          <w:tcPr>
            <w:tcW w:w="36" w:type="dxa"/>
            <w:vAlign w:val="center"/>
            <w:hideMark/>
          </w:tcPr>
          <w:p w14:paraId="6E831FE5"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186954D5"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319C614E"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Nederland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574DCB98"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75</w:t>
            </w:r>
          </w:p>
        </w:tc>
        <w:tc>
          <w:tcPr>
            <w:tcW w:w="53" w:type="dxa"/>
            <w:tcBorders>
              <w:top w:val="nil"/>
              <w:left w:val="nil"/>
              <w:bottom w:val="nil"/>
              <w:right w:val="nil"/>
            </w:tcBorders>
            <w:shd w:val="clear" w:color="auto" w:fill="auto"/>
            <w:noWrap/>
            <w:vAlign w:val="bottom"/>
            <w:hideMark/>
          </w:tcPr>
          <w:p w14:paraId="5E887363"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3BF8FC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56FAC371"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China</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D28A834"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36" w:type="dxa"/>
            <w:vAlign w:val="center"/>
            <w:hideMark/>
          </w:tcPr>
          <w:p w14:paraId="4BC9D125"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3512C8D5"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1BE8216F"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Noorwegen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33575FB0"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39FEBDE7"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7CC80E06"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21CEE47B"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Singapore</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9201688"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36" w:type="dxa"/>
            <w:vAlign w:val="center"/>
            <w:hideMark/>
          </w:tcPr>
          <w:p w14:paraId="7F0D1CB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710EACA2"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2CAF6A13"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Polen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0851472"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8</w:t>
            </w:r>
          </w:p>
        </w:tc>
        <w:tc>
          <w:tcPr>
            <w:tcW w:w="53" w:type="dxa"/>
            <w:tcBorders>
              <w:top w:val="nil"/>
              <w:left w:val="nil"/>
              <w:bottom w:val="nil"/>
              <w:right w:val="nil"/>
            </w:tcBorders>
            <w:shd w:val="clear" w:color="auto" w:fill="auto"/>
            <w:noWrap/>
            <w:vAlign w:val="bottom"/>
            <w:hideMark/>
          </w:tcPr>
          <w:p w14:paraId="6C6E466F"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5D90F52D"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1D1AAC12"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Kroatië</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347F785"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1AEF8003"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19F00223"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5B01AFDF"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Portugal</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AC4E2F0"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1E4304BB"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0C19310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3D79E09C"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Letland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07AA9412"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35FF306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29CF1D0A"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278EA6B9"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Singapore</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69ECEEA"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53" w:type="dxa"/>
            <w:tcBorders>
              <w:top w:val="nil"/>
              <w:left w:val="nil"/>
              <w:bottom w:val="nil"/>
              <w:right w:val="nil"/>
            </w:tcBorders>
            <w:shd w:val="clear" w:color="auto" w:fill="auto"/>
            <w:noWrap/>
            <w:vAlign w:val="bottom"/>
            <w:hideMark/>
          </w:tcPr>
          <w:p w14:paraId="3574BA54"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5A1D01C1"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25D92FC4"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Mauritius</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80A4633"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5D33DDC1"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10EDCDDF"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0999E001"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Spanje</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F3331E5"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1A0E0C7D"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2801D946"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69F91F4E"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Noorwegen</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532DB1D"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5B0CB0F7"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4041D470"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0DFFAB32"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Turkije</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4576612"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4</w:t>
            </w:r>
          </w:p>
        </w:tc>
        <w:tc>
          <w:tcPr>
            <w:tcW w:w="53" w:type="dxa"/>
            <w:tcBorders>
              <w:top w:val="nil"/>
              <w:left w:val="nil"/>
              <w:bottom w:val="nil"/>
              <w:right w:val="nil"/>
            </w:tcBorders>
            <w:shd w:val="clear" w:color="auto" w:fill="auto"/>
            <w:noWrap/>
            <w:vAlign w:val="bottom"/>
            <w:hideMark/>
          </w:tcPr>
          <w:p w14:paraId="47F39043"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65F23E5E"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194F88CC"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Portugal</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B3FBC20"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7720CC1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4695BF37" w14:textId="77777777" w:rsidTr="000D4D98">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387F96F1"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Verenigd Koninkrijk</w:t>
            </w:r>
          </w:p>
        </w:tc>
        <w:tc>
          <w:tcPr>
            <w:tcW w:w="1231" w:type="dxa"/>
            <w:tcBorders>
              <w:top w:val="nil"/>
              <w:left w:val="single" w:sz="8" w:space="0" w:color="auto"/>
              <w:bottom w:val="nil"/>
              <w:right w:val="single" w:sz="8" w:space="0" w:color="auto"/>
            </w:tcBorders>
            <w:shd w:val="clear" w:color="auto" w:fill="auto"/>
            <w:noWrap/>
            <w:vAlign w:val="bottom"/>
            <w:hideMark/>
          </w:tcPr>
          <w:p w14:paraId="11CE759E"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3882EE9D"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1208CA11"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nil"/>
              <w:right w:val="nil"/>
            </w:tcBorders>
            <w:shd w:val="clear" w:color="auto" w:fill="auto"/>
            <w:noWrap/>
            <w:vAlign w:val="bottom"/>
            <w:hideMark/>
          </w:tcPr>
          <w:p w14:paraId="763C9729"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Spanje</w:t>
            </w:r>
          </w:p>
        </w:tc>
        <w:tc>
          <w:tcPr>
            <w:tcW w:w="1231" w:type="dxa"/>
            <w:tcBorders>
              <w:top w:val="nil"/>
              <w:left w:val="single" w:sz="8" w:space="0" w:color="auto"/>
              <w:bottom w:val="nil"/>
              <w:right w:val="single" w:sz="8" w:space="0" w:color="auto"/>
            </w:tcBorders>
            <w:shd w:val="clear" w:color="auto" w:fill="auto"/>
            <w:noWrap/>
            <w:vAlign w:val="bottom"/>
            <w:hideMark/>
          </w:tcPr>
          <w:p w14:paraId="0D7FE773"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7EDEDB73"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61B925AE" w14:textId="77777777" w:rsidTr="000D4D98">
        <w:trPr>
          <w:trHeight w:val="300"/>
        </w:trPr>
        <w:tc>
          <w:tcPr>
            <w:tcW w:w="2616" w:type="dxa"/>
            <w:tcBorders>
              <w:top w:val="nil"/>
              <w:left w:val="single" w:sz="8" w:space="0" w:color="auto"/>
              <w:bottom w:val="nil"/>
              <w:right w:val="nil"/>
            </w:tcBorders>
            <w:shd w:val="clear" w:color="auto" w:fill="auto"/>
            <w:noWrap/>
            <w:vAlign w:val="bottom"/>
            <w:hideMark/>
          </w:tcPr>
          <w:p w14:paraId="79D5854E"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Zweden</w:t>
            </w:r>
          </w:p>
        </w:tc>
        <w:tc>
          <w:tcPr>
            <w:tcW w:w="123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6809DC"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53" w:type="dxa"/>
            <w:tcBorders>
              <w:top w:val="nil"/>
              <w:left w:val="nil"/>
              <w:bottom w:val="nil"/>
              <w:right w:val="nil"/>
            </w:tcBorders>
            <w:shd w:val="clear" w:color="auto" w:fill="auto"/>
            <w:noWrap/>
            <w:vAlign w:val="bottom"/>
            <w:hideMark/>
          </w:tcPr>
          <w:p w14:paraId="254EEE9A"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60244DD4"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single" w:sz="4" w:space="0" w:color="auto"/>
              <w:left w:val="single" w:sz="8" w:space="0" w:color="auto"/>
              <w:bottom w:val="single" w:sz="4" w:space="0" w:color="auto"/>
              <w:right w:val="nil"/>
            </w:tcBorders>
            <w:shd w:val="clear" w:color="auto" w:fill="auto"/>
            <w:noWrap/>
            <w:vAlign w:val="bottom"/>
            <w:hideMark/>
          </w:tcPr>
          <w:p w14:paraId="6BCAAD95"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Zwitserland</w:t>
            </w:r>
          </w:p>
        </w:tc>
        <w:tc>
          <w:tcPr>
            <w:tcW w:w="123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7218BA"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092B6B1E"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7ECEF502" w14:textId="77777777" w:rsidTr="000D4D98">
        <w:trPr>
          <w:trHeight w:val="315"/>
        </w:trPr>
        <w:tc>
          <w:tcPr>
            <w:tcW w:w="2616" w:type="dxa"/>
            <w:tcBorders>
              <w:top w:val="single" w:sz="4" w:space="0" w:color="auto"/>
              <w:left w:val="single" w:sz="8" w:space="0" w:color="auto"/>
              <w:bottom w:val="single" w:sz="8" w:space="0" w:color="auto"/>
              <w:right w:val="nil"/>
            </w:tcBorders>
            <w:shd w:val="clear" w:color="auto" w:fill="auto"/>
            <w:noWrap/>
            <w:vAlign w:val="bottom"/>
            <w:hideMark/>
          </w:tcPr>
          <w:p w14:paraId="16E75E81"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Zwitserland</w:t>
            </w: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4521299E"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2446796D"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EAD1B1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8" w:space="0" w:color="auto"/>
              <w:right w:val="nil"/>
            </w:tcBorders>
            <w:shd w:val="clear" w:color="auto" w:fill="auto"/>
            <w:noWrap/>
            <w:vAlign w:val="bottom"/>
            <w:hideMark/>
          </w:tcPr>
          <w:p w14:paraId="11F45E87" w14:textId="77777777" w:rsidR="000D4D98" w:rsidRPr="000D4D98" w:rsidRDefault="000D4D98" w:rsidP="000D4D98">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Verenigd Koninkrijk</w:t>
            </w: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66DB247A"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00134872"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r w:rsidR="000D4D98" w:rsidRPr="000D4D98" w14:paraId="5FCBAF2A" w14:textId="77777777" w:rsidTr="000D4D98">
        <w:trPr>
          <w:trHeight w:val="315"/>
        </w:trPr>
        <w:tc>
          <w:tcPr>
            <w:tcW w:w="2616" w:type="dxa"/>
            <w:tcBorders>
              <w:top w:val="nil"/>
              <w:left w:val="nil"/>
              <w:bottom w:val="nil"/>
              <w:right w:val="nil"/>
            </w:tcBorders>
            <w:shd w:val="clear" w:color="auto" w:fill="auto"/>
            <w:noWrap/>
            <w:vAlign w:val="bottom"/>
            <w:hideMark/>
          </w:tcPr>
          <w:p w14:paraId="649A4563"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0D64D197"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229</w:t>
            </w:r>
          </w:p>
        </w:tc>
        <w:tc>
          <w:tcPr>
            <w:tcW w:w="53" w:type="dxa"/>
            <w:tcBorders>
              <w:top w:val="nil"/>
              <w:left w:val="nil"/>
              <w:bottom w:val="nil"/>
              <w:right w:val="nil"/>
            </w:tcBorders>
            <w:shd w:val="clear" w:color="auto" w:fill="auto"/>
            <w:noWrap/>
            <w:vAlign w:val="bottom"/>
            <w:hideMark/>
          </w:tcPr>
          <w:p w14:paraId="6FC95389" w14:textId="77777777" w:rsidR="000D4D98" w:rsidRPr="000D4D98" w:rsidRDefault="000D4D98" w:rsidP="000D4D98">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1996AC21"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2616" w:type="dxa"/>
            <w:tcBorders>
              <w:top w:val="nil"/>
              <w:left w:val="nil"/>
              <w:bottom w:val="nil"/>
              <w:right w:val="nil"/>
            </w:tcBorders>
            <w:shd w:val="clear" w:color="auto" w:fill="auto"/>
            <w:noWrap/>
            <w:vAlign w:val="bottom"/>
            <w:hideMark/>
          </w:tcPr>
          <w:p w14:paraId="44561D1E"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36A7EB67" w14:textId="77777777" w:rsidR="000D4D98" w:rsidRPr="000D4D98" w:rsidRDefault="000D4D98" w:rsidP="000D4D98">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229</w:t>
            </w:r>
          </w:p>
        </w:tc>
        <w:tc>
          <w:tcPr>
            <w:tcW w:w="36" w:type="dxa"/>
            <w:vAlign w:val="center"/>
            <w:hideMark/>
          </w:tcPr>
          <w:p w14:paraId="62FEB0A6" w14:textId="77777777" w:rsidR="000D4D98" w:rsidRPr="000D4D98" w:rsidRDefault="000D4D98" w:rsidP="000D4D98">
            <w:pPr>
              <w:spacing w:after="0" w:line="240" w:lineRule="auto"/>
              <w:rPr>
                <w:rFonts w:ascii="Times New Roman" w:eastAsia="Times New Roman" w:hAnsi="Times New Roman" w:cs="Times New Roman"/>
                <w:sz w:val="20"/>
                <w:szCs w:val="20"/>
                <w:lang w:eastAsia="fr-BE"/>
              </w:rPr>
            </w:pPr>
          </w:p>
        </w:tc>
      </w:tr>
    </w:tbl>
    <w:p w14:paraId="02FB6C2B" w14:textId="77777777" w:rsidR="00B73AA3" w:rsidRDefault="00B73AA3" w:rsidP="00D74336">
      <w:pPr>
        <w:rPr>
          <w:b/>
          <w:bCs/>
          <w:lang w:val="en-GB"/>
        </w:rPr>
      </w:pPr>
    </w:p>
    <w:p w14:paraId="03C55CD7" w14:textId="66A4BAA9" w:rsidR="006C5103" w:rsidRDefault="006C5103" w:rsidP="00D74336">
      <w:pPr>
        <w:rPr>
          <w:lang w:val="nl-BE"/>
        </w:rPr>
      </w:pPr>
      <w:r w:rsidRPr="006C5103">
        <w:rPr>
          <w:lang w:val="nl-BE"/>
        </w:rPr>
        <w:t xml:space="preserve">In 2023 telt de Meubelbeurs </w:t>
      </w:r>
      <w:r w:rsidR="00B96F9C">
        <w:rPr>
          <w:lang w:val="nl-BE"/>
        </w:rPr>
        <w:t>in totaal 229 exposanten</w:t>
      </w:r>
      <w:r w:rsidR="00725053">
        <w:rPr>
          <w:lang w:val="nl-BE"/>
        </w:rPr>
        <w:t>,</w:t>
      </w:r>
      <w:r w:rsidR="00B96F9C">
        <w:rPr>
          <w:lang w:val="nl-BE"/>
        </w:rPr>
        <w:t xml:space="preserve"> </w:t>
      </w:r>
      <w:r w:rsidRPr="006C5103">
        <w:rPr>
          <w:lang w:val="nl-BE"/>
        </w:rPr>
        <w:t>e</w:t>
      </w:r>
      <w:r>
        <w:rPr>
          <w:lang w:val="nl-BE"/>
        </w:rPr>
        <w:t>en stijging van 1</w:t>
      </w:r>
      <w:r w:rsidR="00B96F9C">
        <w:rPr>
          <w:lang w:val="nl-BE"/>
        </w:rPr>
        <w:t>4</w:t>
      </w:r>
      <w:r>
        <w:rPr>
          <w:lang w:val="nl-BE"/>
        </w:rPr>
        <w:t xml:space="preserve"> exposanten t.o.v. 2022. Wat opvalt is een sterke stijging van exposanten uit </w:t>
      </w:r>
      <w:r w:rsidR="00C01F53">
        <w:rPr>
          <w:lang w:val="nl-BE"/>
        </w:rPr>
        <w:t>België</w:t>
      </w:r>
      <w:r>
        <w:rPr>
          <w:lang w:val="nl-BE"/>
        </w:rPr>
        <w:t xml:space="preserve"> (+10) en Nederland (+7). Over de totale bezette oppervlakte betekent d</w:t>
      </w:r>
      <w:r w:rsidR="006F63AC">
        <w:rPr>
          <w:lang w:val="nl-BE"/>
        </w:rPr>
        <w:t>it</w:t>
      </w:r>
      <w:r>
        <w:rPr>
          <w:lang w:val="nl-BE"/>
        </w:rPr>
        <w:t xml:space="preserve"> een stijging van bijna 5000</w:t>
      </w:r>
      <w:r w:rsidR="00763CAF">
        <w:rPr>
          <w:lang w:val="nl-BE"/>
        </w:rPr>
        <w:t xml:space="preserve"> </w:t>
      </w:r>
      <w:r>
        <w:rPr>
          <w:lang w:val="nl-BE"/>
        </w:rPr>
        <w:t xml:space="preserve">m². </w:t>
      </w:r>
    </w:p>
    <w:p w14:paraId="7B123DA4" w14:textId="032B33FD" w:rsidR="001D01B4" w:rsidRPr="006C5103" w:rsidRDefault="001D01B4" w:rsidP="00D74336">
      <w:pPr>
        <w:rPr>
          <w:lang w:val="nl-BE"/>
        </w:rPr>
      </w:pPr>
      <w:r>
        <w:rPr>
          <w:lang w:val="nl-BE"/>
        </w:rPr>
        <w:lastRenderedPageBreak/>
        <w:t xml:space="preserve">Het meest opvallend </w:t>
      </w:r>
      <w:r w:rsidR="00D078F4">
        <w:rPr>
          <w:lang w:val="nl-BE"/>
        </w:rPr>
        <w:t>zijn</w:t>
      </w:r>
      <w:r>
        <w:rPr>
          <w:lang w:val="nl-BE"/>
        </w:rPr>
        <w:t xml:space="preserve"> de volledige bezetting van hal 4, een grotere bezetting van ‘traditionele’ standen in hal 3 en een duidelijke groei in hal 6. Hierdoor mogen we stellen dat, met uitzondering van hal 6, de hallen voor het eerst </w:t>
      </w:r>
      <w:r w:rsidR="002F17E2">
        <w:rPr>
          <w:lang w:val="nl-BE"/>
        </w:rPr>
        <w:t xml:space="preserve">sinds lang </w:t>
      </w:r>
      <w:r>
        <w:rPr>
          <w:lang w:val="nl-BE"/>
        </w:rPr>
        <w:t>volledig bezet zijn.</w:t>
      </w:r>
    </w:p>
    <w:p w14:paraId="73E8CF52" w14:textId="6614F7F6" w:rsidR="006C5103" w:rsidRDefault="00B96F9C" w:rsidP="00D74336">
      <w:pPr>
        <w:rPr>
          <w:lang w:val="nl-BE"/>
        </w:rPr>
      </w:pPr>
      <w:r w:rsidRPr="00B96F9C">
        <w:rPr>
          <w:lang w:val="nl-BE"/>
        </w:rPr>
        <w:t>Omdat trouwe exposanten Passe Partout en Recor Group verhuis</w:t>
      </w:r>
      <w:r w:rsidR="00D078F4">
        <w:rPr>
          <w:lang w:val="nl-BE"/>
        </w:rPr>
        <w:t>d</w:t>
      </w:r>
      <w:r w:rsidRPr="00B96F9C">
        <w:rPr>
          <w:lang w:val="nl-BE"/>
        </w:rPr>
        <w:t xml:space="preserve"> zij</w:t>
      </w:r>
      <w:r>
        <w:rPr>
          <w:lang w:val="nl-BE"/>
        </w:rPr>
        <w:t>n van hal 5 naar hal 4 om hun standoppervlakte te kunnen uitbreiden ziet de top 3 van standopperlvlaktes er dit jaar heel anders uit</w:t>
      </w:r>
      <w:r w:rsidR="008F3D35">
        <w:rPr>
          <w:lang w:val="nl-BE"/>
        </w:rPr>
        <w:t xml:space="preserve"> dan gewoonlijk</w:t>
      </w:r>
      <w:r>
        <w:rPr>
          <w:lang w:val="nl-BE"/>
        </w:rPr>
        <w:t>.</w:t>
      </w:r>
    </w:p>
    <w:tbl>
      <w:tblPr>
        <w:tblW w:w="3100" w:type="dxa"/>
        <w:tblInd w:w="1605" w:type="dxa"/>
        <w:tblCellMar>
          <w:left w:w="70" w:type="dxa"/>
          <w:right w:w="70" w:type="dxa"/>
        </w:tblCellMar>
        <w:tblLook w:val="04A0" w:firstRow="1" w:lastRow="0" w:firstColumn="1" w:lastColumn="0" w:noHBand="0" w:noVBand="1"/>
      </w:tblPr>
      <w:tblGrid>
        <w:gridCol w:w="2085"/>
        <w:gridCol w:w="1015"/>
      </w:tblGrid>
      <w:tr w:rsidR="00B96F9C" w:rsidRPr="00B96F9C" w14:paraId="2A404F7C" w14:textId="77777777" w:rsidTr="00D614FC">
        <w:trPr>
          <w:trHeight w:val="300"/>
        </w:trPr>
        <w:tc>
          <w:tcPr>
            <w:tcW w:w="3100" w:type="dxa"/>
            <w:gridSpan w:val="2"/>
            <w:tcBorders>
              <w:top w:val="nil"/>
              <w:left w:val="nil"/>
              <w:bottom w:val="nil"/>
              <w:right w:val="nil"/>
            </w:tcBorders>
            <w:shd w:val="clear" w:color="auto" w:fill="auto"/>
            <w:noWrap/>
            <w:vAlign w:val="bottom"/>
            <w:hideMark/>
          </w:tcPr>
          <w:p w14:paraId="285043A8" w14:textId="77777777" w:rsidR="00B96F9C" w:rsidRPr="00B96F9C" w:rsidRDefault="00B96F9C" w:rsidP="00B96F9C">
            <w:pPr>
              <w:spacing w:after="0" w:line="240" w:lineRule="auto"/>
              <w:rPr>
                <w:rFonts w:ascii="Calibri" w:eastAsia="Times New Roman" w:hAnsi="Calibri" w:cs="Calibri"/>
                <w:b/>
                <w:bCs/>
                <w:color w:val="000000"/>
                <w:lang w:eastAsia="fr-BE"/>
              </w:rPr>
            </w:pPr>
            <w:r w:rsidRPr="00B96F9C">
              <w:rPr>
                <w:rFonts w:ascii="Calibri" w:eastAsia="Times New Roman" w:hAnsi="Calibri" w:cs="Calibri"/>
                <w:b/>
                <w:bCs/>
                <w:color w:val="000000"/>
                <w:lang w:eastAsia="fr-BE"/>
              </w:rPr>
              <w:t>TOP 3 Oppervlaktes 2023</w:t>
            </w:r>
          </w:p>
        </w:tc>
      </w:tr>
      <w:tr w:rsidR="00B96F9C" w:rsidRPr="00B96F9C" w14:paraId="4C562207" w14:textId="77777777" w:rsidTr="00D614FC">
        <w:trPr>
          <w:trHeight w:val="300"/>
        </w:trPr>
        <w:tc>
          <w:tcPr>
            <w:tcW w:w="2085" w:type="dxa"/>
            <w:tcBorders>
              <w:top w:val="nil"/>
              <w:left w:val="nil"/>
              <w:bottom w:val="nil"/>
              <w:right w:val="nil"/>
            </w:tcBorders>
            <w:shd w:val="clear" w:color="auto" w:fill="auto"/>
            <w:noWrap/>
            <w:vAlign w:val="bottom"/>
            <w:hideMark/>
          </w:tcPr>
          <w:p w14:paraId="00361E85"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MECAM</w:t>
            </w:r>
          </w:p>
        </w:tc>
        <w:tc>
          <w:tcPr>
            <w:tcW w:w="1015" w:type="dxa"/>
            <w:tcBorders>
              <w:top w:val="nil"/>
              <w:left w:val="nil"/>
              <w:bottom w:val="nil"/>
              <w:right w:val="nil"/>
            </w:tcBorders>
            <w:shd w:val="clear" w:color="auto" w:fill="auto"/>
            <w:noWrap/>
            <w:vAlign w:val="bottom"/>
            <w:hideMark/>
          </w:tcPr>
          <w:p w14:paraId="373D78F5"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1523m²</w:t>
            </w:r>
          </w:p>
        </w:tc>
      </w:tr>
      <w:tr w:rsidR="00B96F9C" w:rsidRPr="00B96F9C" w14:paraId="767BB05F" w14:textId="77777777" w:rsidTr="00D614FC">
        <w:trPr>
          <w:trHeight w:val="300"/>
        </w:trPr>
        <w:tc>
          <w:tcPr>
            <w:tcW w:w="2085" w:type="dxa"/>
            <w:tcBorders>
              <w:top w:val="nil"/>
              <w:left w:val="nil"/>
              <w:bottom w:val="nil"/>
              <w:right w:val="nil"/>
            </w:tcBorders>
            <w:shd w:val="clear" w:color="auto" w:fill="auto"/>
            <w:noWrap/>
            <w:vAlign w:val="bottom"/>
            <w:hideMark/>
          </w:tcPr>
          <w:p w14:paraId="1F64324C"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RECOR</w:t>
            </w:r>
          </w:p>
        </w:tc>
        <w:tc>
          <w:tcPr>
            <w:tcW w:w="1015" w:type="dxa"/>
            <w:tcBorders>
              <w:top w:val="nil"/>
              <w:left w:val="nil"/>
              <w:bottom w:val="nil"/>
              <w:right w:val="nil"/>
            </w:tcBorders>
            <w:shd w:val="clear" w:color="auto" w:fill="auto"/>
            <w:noWrap/>
            <w:vAlign w:val="bottom"/>
            <w:hideMark/>
          </w:tcPr>
          <w:p w14:paraId="61EA5996"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1328m²</w:t>
            </w:r>
          </w:p>
        </w:tc>
      </w:tr>
      <w:tr w:rsidR="00B96F9C" w:rsidRPr="00B96F9C" w14:paraId="05F66554" w14:textId="77777777" w:rsidTr="00D614FC">
        <w:trPr>
          <w:trHeight w:val="300"/>
        </w:trPr>
        <w:tc>
          <w:tcPr>
            <w:tcW w:w="2085" w:type="dxa"/>
            <w:tcBorders>
              <w:top w:val="nil"/>
              <w:left w:val="nil"/>
              <w:bottom w:val="nil"/>
              <w:right w:val="nil"/>
            </w:tcBorders>
            <w:shd w:val="clear" w:color="auto" w:fill="auto"/>
            <w:noWrap/>
            <w:vAlign w:val="bottom"/>
            <w:hideMark/>
          </w:tcPr>
          <w:p w14:paraId="022A2766"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PASSE PARTOUT</w:t>
            </w:r>
          </w:p>
        </w:tc>
        <w:tc>
          <w:tcPr>
            <w:tcW w:w="1015" w:type="dxa"/>
            <w:tcBorders>
              <w:top w:val="nil"/>
              <w:left w:val="nil"/>
              <w:bottom w:val="nil"/>
              <w:right w:val="nil"/>
            </w:tcBorders>
            <w:shd w:val="clear" w:color="auto" w:fill="auto"/>
            <w:noWrap/>
            <w:vAlign w:val="bottom"/>
            <w:hideMark/>
          </w:tcPr>
          <w:p w14:paraId="26362356"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1040m²</w:t>
            </w:r>
          </w:p>
        </w:tc>
      </w:tr>
    </w:tbl>
    <w:p w14:paraId="2EDDDD78" w14:textId="77777777" w:rsidR="001D01B4" w:rsidRDefault="001D01B4" w:rsidP="00D74336">
      <w:pPr>
        <w:rPr>
          <w:b/>
          <w:bCs/>
          <w:lang w:val="en-GB"/>
        </w:rPr>
      </w:pPr>
    </w:p>
    <w:p w14:paraId="3A41EAC7" w14:textId="35EDDAA0" w:rsidR="007A02AA" w:rsidRPr="00F06098" w:rsidRDefault="007A02AA" w:rsidP="00D74336">
      <w:pPr>
        <w:rPr>
          <w:b/>
          <w:bCs/>
          <w:lang w:val="nl-BE"/>
        </w:rPr>
      </w:pPr>
      <w:r w:rsidRPr="00F06098">
        <w:rPr>
          <w:b/>
          <w:bCs/>
          <w:lang w:val="nl-BE"/>
        </w:rPr>
        <w:t>Brussels By Night</w:t>
      </w:r>
    </w:p>
    <w:p w14:paraId="74D87FD6" w14:textId="0D3618C9" w:rsidR="007079D1" w:rsidRDefault="001D01B4" w:rsidP="00D74336">
      <w:pPr>
        <w:rPr>
          <w:lang w:val="nl-BE"/>
        </w:rPr>
      </w:pPr>
      <w:r w:rsidRPr="00F06098">
        <w:rPr>
          <w:lang w:val="nl-BE"/>
        </w:rPr>
        <w:t>Het slaapsegment Brussels</w:t>
      </w:r>
      <w:r w:rsidR="008A623B" w:rsidRPr="00F06098">
        <w:rPr>
          <w:lang w:val="nl-BE"/>
        </w:rPr>
        <w:t xml:space="preserve"> By </w:t>
      </w:r>
      <w:r w:rsidRPr="00F06098">
        <w:rPr>
          <w:lang w:val="nl-BE"/>
        </w:rPr>
        <w:t>N</w:t>
      </w:r>
      <w:r w:rsidR="008A623B" w:rsidRPr="00F06098">
        <w:rPr>
          <w:lang w:val="nl-BE"/>
        </w:rPr>
        <w:t xml:space="preserve">ight blijft een </w:t>
      </w:r>
      <w:r w:rsidRPr="00F06098">
        <w:rPr>
          <w:lang w:val="nl-BE"/>
        </w:rPr>
        <w:t xml:space="preserve">segment met </w:t>
      </w:r>
      <w:r w:rsidR="001C4AC1" w:rsidRPr="00F06098">
        <w:rPr>
          <w:lang w:val="nl-BE"/>
        </w:rPr>
        <w:t xml:space="preserve">veel </w:t>
      </w:r>
      <w:r w:rsidRPr="00F06098">
        <w:rPr>
          <w:lang w:val="nl-BE"/>
        </w:rPr>
        <w:t>potentieel</w:t>
      </w:r>
      <w:r w:rsidR="008A623B" w:rsidRPr="00F06098">
        <w:rPr>
          <w:lang w:val="nl-BE"/>
        </w:rPr>
        <w:t xml:space="preserve">. </w:t>
      </w:r>
      <w:r w:rsidRPr="00F06098">
        <w:rPr>
          <w:lang w:val="nl-BE"/>
        </w:rPr>
        <w:t>D</w:t>
      </w:r>
      <w:r w:rsidR="006C5103" w:rsidRPr="00F06098">
        <w:rPr>
          <w:lang w:val="nl-BE"/>
        </w:rPr>
        <w:t>e Meubelbeurs</w:t>
      </w:r>
      <w:r w:rsidR="008A623B" w:rsidRPr="00F06098">
        <w:rPr>
          <w:lang w:val="nl-BE"/>
        </w:rPr>
        <w:t xml:space="preserve"> zet</w:t>
      </w:r>
      <w:r w:rsidRPr="00F06098">
        <w:rPr>
          <w:lang w:val="nl-BE"/>
        </w:rPr>
        <w:t xml:space="preserve">te weliswaar ook in 2023 </w:t>
      </w:r>
      <w:r w:rsidR="001C4AC1" w:rsidRPr="00F06098">
        <w:rPr>
          <w:lang w:val="nl-BE"/>
        </w:rPr>
        <w:t>een grote stap</w:t>
      </w:r>
      <w:r w:rsidR="008A623B" w:rsidRPr="00F06098">
        <w:rPr>
          <w:lang w:val="nl-BE"/>
        </w:rPr>
        <w:t xml:space="preserve"> vooruit</w:t>
      </w:r>
      <w:r w:rsidR="006C5103" w:rsidRPr="00F06098">
        <w:rPr>
          <w:lang w:val="nl-BE"/>
        </w:rPr>
        <w:t>, want het is in dit segment dat de groei het beste opvalt</w:t>
      </w:r>
      <w:r w:rsidR="00C01F53" w:rsidRPr="00F06098">
        <w:rPr>
          <w:lang w:val="nl-BE"/>
        </w:rPr>
        <w:t>, met een stijging van 350 m² t.o.v. de voorgaande editie</w:t>
      </w:r>
      <w:r w:rsidR="008A623B" w:rsidRPr="00F06098">
        <w:rPr>
          <w:lang w:val="nl-BE"/>
        </w:rPr>
        <w:t xml:space="preserve">. Ook hier </w:t>
      </w:r>
      <w:r w:rsidR="001C4AC1" w:rsidRPr="00F06098">
        <w:rPr>
          <w:lang w:val="nl-BE"/>
        </w:rPr>
        <w:t>leggen</w:t>
      </w:r>
      <w:r w:rsidR="008A623B" w:rsidRPr="00F06098">
        <w:rPr>
          <w:lang w:val="nl-BE"/>
        </w:rPr>
        <w:t xml:space="preserve"> we de link met de toekomst: We geloven </w:t>
      </w:r>
      <w:r w:rsidR="001C4AC1" w:rsidRPr="00F06098">
        <w:rPr>
          <w:lang w:val="nl-BE"/>
        </w:rPr>
        <w:t xml:space="preserve">namelijk </w:t>
      </w:r>
      <w:r w:rsidR="008A623B" w:rsidRPr="00F06098">
        <w:rPr>
          <w:lang w:val="nl-BE"/>
        </w:rPr>
        <w:t>dat Brussel de juiste plaats is</w:t>
      </w:r>
      <w:r w:rsidR="001C4AC1" w:rsidRPr="00F06098">
        <w:rPr>
          <w:lang w:val="nl-BE"/>
        </w:rPr>
        <w:t xml:space="preserve"> om een ‘slaapbeurs’ te houden</w:t>
      </w:r>
      <w:r w:rsidR="008A623B" w:rsidRPr="00F06098">
        <w:rPr>
          <w:lang w:val="nl-BE"/>
        </w:rPr>
        <w:t xml:space="preserve">. </w:t>
      </w:r>
      <w:r w:rsidR="001C4AC1" w:rsidRPr="00F06098">
        <w:rPr>
          <w:lang w:val="nl-BE"/>
        </w:rPr>
        <w:t xml:space="preserve">Een aanzienlijk deel van onze bezoekers geeft bij de registratie ook aan te werken in een beddenzaak, of interesse te hebben in producten uit het slaapsegment (+20%). </w:t>
      </w:r>
      <w:r w:rsidR="0030729D" w:rsidRPr="00F06098">
        <w:rPr>
          <w:lang w:val="nl-BE"/>
        </w:rPr>
        <w:t xml:space="preserve">Het </w:t>
      </w:r>
      <w:r w:rsidR="001C4AC1" w:rsidRPr="00F06098">
        <w:rPr>
          <w:lang w:val="nl-BE"/>
        </w:rPr>
        <w:t xml:space="preserve">commerciële </w:t>
      </w:r>
      <w:r w:rsidR="0030729D" w:rsidRPr="00F06098">
        <w:rPr>
          <w:lang w:val="nl-BE"/>
        </w:rPr>
        <w:t xml:space="preserve">succes van de </w:t>
      </w:r>
    </w:p>
    <w:p w14:paraId="7EDCCA8E" w14:textId="33C0570E" w:rsidR="002D4DA4" w:rsidRDefault="0030729D" w:rsidP="00D74336">
      <w:pPr>
        <w:rPr>
          <w:lang w:val="nl-BE"/>
        </w:rPr>
      </w:pPr>
      <w:r w:rsidRPr="00F06098">
        <w:rPr>
          <w:lang w:val="nl-BE"/>
        </w:rPr>
        <w:t xml:space="preserve">Brussels By Night. </w:t>
      </w:r>
      <w:r w:rsidR="007A02AA" w:rsidRPr="00F06098">
        <w:rPr>
          <w:lang w:val="nl-BE"/>
        </w:rPr>
        <w:t>Dat hoorden</w:t>
      </w:r>
      <w:r w:rsidR="00572348" w:rsidRPr="00F06098">
        <w:rPr>
          <w:lang w:val="nl-BE"/>
        </w:rPr>
        <w:t xml:space="preserve"> we vorig jaar </w:t>
      </w:r>
      <w:r w:rsidR="001C4AC1" w:rsidRPr="00F06098">
        <w:rPr>
          <w:lang w:val="nl-BE"/>
        </w:rPr>
        <w:t>nog</w:t>
      </w:r>
      <w:r w:rsidR="00572348" w:rsidRPr="00F06098">
        <w:rPr>
          <w:lang w:val="nl-BE"/>
        </w:rPr>
        <w:t xml:space="preserve"> tijdens de beurs</w:t>
      </w:r>
      <w:r w:rsidRPr="00F06098">
        <w:rPr>
          <w:lang w:val="nl-BE"/>
        </w:rPr>
        <w:t xml:space="preserve"> van de exposanten</w:t>
      </w:r>
      <w:r w:rsidR="001C4AC1" w:rsidRPr="00F06098">
        <w:rPr>
          <w:lang w:val="nl-BE"/>
        </w:rPr>
        <w:t xml:space="preserve"> zelf</w:t>
      </w:r>
      <w:r w:rsidR="00572348" w:rsidRPr="00F06098">
        <w:rPr>
          <w:lang w:val="nl-BE"/>
        </w:rPr>
        <w:t>.</w:t>
      </w:r>
      <w:r w:rsidR="001C4AC1" w:rsidRPr="00F06098">
        <w:rPr>
          <w:lang w:val="nl-BE"/>
        </w:rPr>
        <w:t xml:space="preserve"> Het belangrijkste voor deze editie was een grotere </w:t>
      </w:r>
      <w:r w:rsidR="00D078F4" w:rsidRPr="00F06098">
        <w:rPr>
          <w:lang w:val="nl-BE"/>
        </w:rPr>
        <w:t>tentoonstellings</w:t>
      </w:r>
      <w:r w:rsidR="001C4AC1" w:rsidRPr="00F06098">
        <w:rPr>
          <w:lang w:val="nl-BE"/>
        </w:rPr>
        <w:t>oppervlakte, met behoud</w:t>
      </w:r>
      <w:r w:rsidR="001C4AC1">
        <w:rPr>
          <w:lang w:val="nl-BE"/>
        </w:rPr>
        <w:t xml:space="preserve"> van kwaliteit. Met exposanten als Hilding Anders</w:t>
      </w:r>
      <w:r w:rsidR="002D4DA4">
        <w:rPr>
          <w:lang w:val="nl-BE"/>
        </w:rPr>
        <w:t>, Nill Spring, Haarhuis &amp; Jansen</w:t>
      </w:r>
      <w:r w:rsidR="00064781">
        <w:rPr>
          <w:lang w:val="nl-BE"/>
        </w:rPr>
        <w:t xml:space="preserve">, </w:t>
      </w:r>
      <w:r w:rsidR="002D4DA4">
        <w:rPr>
          <w:lang w:val="nl-BE"/>
        </w:rPr>
        <w:t>Hukla, Aya of Sweden, Dauny</w:t>
      </w:r>
      <w:r w:rsidR="00D307B5">
        <w:rPr>
          <w:lang w:val="nl-BE"/>
        </w:rPr>
        <w:t>, Elsach</w:t>
      </w:r>
      <w:r w:rsidR="002D4DA4">
        <w:rPr>
          <w:lang w:val="nl-BE"/>
        </w:rPr>
        <w:t xml:space="preserve"> en Arctic Living die voor het eerst in Brussel tentoonstellen, of die terugkomen na een afwezigheid, </w:t>
      </w:r>
      <w:r w:rsidR="008F3D35">
        <w:rPr>
          <w:lang w:val="nl-BE"/>
        </w:rPr>
        <w:t>kunnen we zelfs spreken van een kwaliteitsinjectie</w:t>
      </w:r>
      <w:r w:rsidR="002D4DA4">
        <w:rPr>
          <w:lang w:val="nl-BE"/>
        </w:rPr>
        <w:t>.</w:t>
      </w:r>
    </w:p>
    <w:p w14:paraId="6C21FC7A" w14:textId="364F2561" w:rsidR="007A02AA" w:rsidRDefault="002D4DA4" w:rsidP="00D74336">
      <w:pPr>
        <w:rPr>
          <w:lang w:val="nl-BE"/>
        </w:rPr>
      </w:pPr>
      <w:r>
        <w:rPr>
          <w:lang w:val="nl-BE"/>
        </w:rPr>
        <w:t xml:space="preserve">Natuurlijk zijn er nog stappen te zetten. Zo valt bijvoorbeeld op dat </w:t>
      </w:r>
      <w:r w:rsidR="00D078F4">
        <w:rPr>
          <w:lang w:val="nl-BE"/>
        </w:rPr>
        <w:t xml:space="preserve">er </w:t>
      </w:r>
      <w:r>
        <w:rPr>
          <w:lang w:val="nl-BE"/>
        </w:rPr>
        <w:t>in Brussel By Night geen exposanten uit buurland Frankrijk aanwezig zijn, nochtans een land met veel potentieel op gebied van slaapcomfort.</w:t>
      </w:r>
    </w:p>
    <w:tbl>
      <w:tblPr>
        <w:tblW w:w="8156" w:type="dxa"/>
        <w:tblCellMar>
          <w:left w:w="70" w:type="dxa"/>
          <w:right w:w="70" w:type="dxa"/>
        </w:tblCellMar>
        <w:tblLook w:val="04A0" w:firstRow="1" w:lastRow="0" w:firstColumn="1" w:lastColumn="0" w:noHBand="0" w:noVBand="1"/>
      </w:tblPr>
      <w:tblGrid>
        <w:gridCol w:w="2630"/>
        <w:gridCol w:w="1371"/>
        <w:gridCol w:w="146"/>
        <w:gridCol w:w="146"/>
        <w:gridCol w:w="2630"/>
        <w:gridCol w:w="1371"/>
        <w:gridCol w:w="146"/>
      </w:tblGrid>
      <w:tr w:rsidR="00C01F53" w:rsidRPr="00C01F53" w14:paraId="322ACD63" w14:textId="77777777" w:rsidTr="00C01F53">
        <w:trPr>
          <w:gridAfter w:val="1"/>
          <w:wAfter w:w="36" w:type="dxa"/>
          <w:trHeight w:val="450"/>
        </w:trPr>
        <w:tc>
          <w:tcPr>
            <w:tcW w:w="8120"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AB30DF2" w14:textId="77777777" w:rsidR="00C01F53" w:rsidRPr="00C01F53" w:rsidRDefault="00C01F53" w:rsidP="00C01F53">
            <w:pPr>
              <w:spacing w:after="0" w:line="240" w:lineRule="auto"/>
              <w:jc w:val="center"/>
              <w:rPr>
                <w:rFonts w:ascii="Calibri" w:eastAsia="Times New Roman" w:hAnsi="Calibri" w:cs="Calibri"/>
                <w:color w:val="000000"/>
                <w:sz w:val="44"/>
                <w:szCs w:val="44"/>
                <w:lang w:eastAsia="fr-BE"/>
              </w:rPr>
            </w:pPr>
            <w:r w:rsidRPr="00C01F53">
              <w:rPr>
                <w:rFonts w:ascii="Calibri" w:eastAsia="Times New Roman" w:hAnsi="Calibri" w:cs="Calibri"/>
                <w:color w:val="000000"/>
                <w:sz w:val="44"/>
                <w:szCs w:val="44"/>
                <w:lang w:eastAsia="fr-BE"/>
              </w:rPr>
              <w:t>2023 - Brussels By Night</w:t>
            </w:r>
          </w:p>
        </w:tc>
      </w:tr>
      <w:tr w:rsidR="00C01F53" w:rsidRPr="00C01F53" w14:paraId="399A0C06" w14:textId="77777777" w:rsidTr="00C01F53">
        <w:trPr>
          <w:trHeight w:val="315"/>
        </w:trPr>
        <w:tc>
          <w:tcPr>
            <w:tcW w:w="8120" w:type="dxa"/>
            <w:gridSpan w:val="6"/>
            <w:vMerge/>
            <w:tcBorders>
              <w:top w:val="single" w:sz="8" w:space="0" w:color="auto"/>
              <w:left w:val="single" w:sz="8" w:space="0" w:color="auto"/>
              <w:bottom w:val="single" w:sz="8" w:space="0" w:color="000000"/>
              <w:right w:val="single" w:sz="8" w:space="0" w:color="000000"/>
            </w:tcBorders>
            <w:vAlign w:val="center"/>
            <w:hideMark/>
          </w:tcPr>
          <w:p w14:paraId="2F162BF4" w14:textId="77777777" w:rsidR="00C01F53" w:rsidRPr="00C01F53" w:rsidRDefault="00C01F53" w:rsidP="00C01F53">
            <w:pPr>
              <w:spacing w:after="0" w:line="240" w:lineRule="auto"/>
              <w:rPr>
                <w:rFonts w:ascii="Calibri" w:eastAsia="Times New Roman" w:hAnsi="Calibri" w:cs="Calibri"/>
                <w:color w:val="000000"/>
                <w:sz w:val="44"/>
                <w:szCs w:val="44"/>
                <w:lang w:eastAsia="fr-BE"/>
              </w:rPr>
            </w:pPr>
          </w:p>
        </w:tc>
        <w:tc>
          <w:tcPr>
            <w:tcW w:w="36" w:type="dxa"/>
            <w:tcBorders>
              <w:top w:val="nil"/>
              <w:left w:val="nil"/>
              <w:bottom w:val="nil"/>
              <w:right w:val="nil"/>
            </w:tcBorders>
            <w:shd w:val="clear" w:color="auto" w:fill="auto"/>
            <w:noWrap/>
            <w:vAlign w:val="bottom"/>
            <w:hideMark/>
          </w:tcPr>
          <w:p w14:paraId="00A0F315" w14:textId="77777777" w:rsidR="00C01F53" w:rsidRPr="00C01F53" w:rsidRDefault="00C01F53" w:rsidP="00C01F53">
            <w:pPr>
              <w:spacing w:after="0" w:line="240" w:lineRule="auto"/>
              <w:jc w:val="center"/>
              <w:rPr>
                <w:rFonts w:ascii="Calibri" w:eastAsia="Times New Roman" w:hAnsi="Calibri" w:cs="Calibri"/>
                <w:color w:val="000000"/>
                <w:sz w:val="44"/>
                <w:szCs w:val="44"/>
                <w:lang w:eastAsia="fr-BE"/>
              </w:rPr>
            </w:pPr>
          </w:p>
        </w:tc>
      </w:tr>
      <w:tr w:rsidR="00C01F53" w:rsidRPr="00C01F53" w14:paraId="2F990338" w14:textId="77777777" w:rsidTr="00C01F53">
        <w:trPr>
          <w:trHeight w:val="300"/>
        </w:trPr>
        <w:tc>
          <w:tcPr>
            <w:tcW w:w="2630" w:type="dxa"/>
            <w:tcBorders>
              <w:top w:val="nil"/>
              <w:left w:val="single" w:sz="8" w:space="0" w:color="auto"/>
              <w:bottom w:val="single" w:sz="8" w:space="0" w:color="auto"/>
              <w:right w:val="nil"/>
            </w:tcBorders>
            <w:shd w:val="clear" w:color="auto" w:fill="auto"/>
            <w:noWrap/>
            <w:vAlign w:val="bottom"/>
            <w:hideMark/>
          </w:tcPr>
          <w:p w14:paraId="65CC2024" w14:textId="1BB7DAEF" w:rsidR="00C01F53" w:rsidRPr="00C01F53" w:rsidRDefault="003A54DB" w:rsidP="00C01F53">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Land van oorsprong</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62F9E1D6" w14:textId="75EF0888" w:rsidR="00C01F53" w:rsidRPr="00C01F53" w:rsidRDefault="000D4D98" w:rsidP="00C01F53">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Hoeveelheid</w:t>
            </w:r>
          </w:p>
        </w:tc>
        <w:tc>
          <w:tcPr>
            <w:tcW w:w="59" w:type="dxa"/>
            <w:tcBorders>
              <w:top w:val="nil"/>
              <w:left w:val="nil"/>
              <w:bottom w:val="nil"/>
              <w:right w:val="nil"/>
            </w:tcBorders>
            <w:shd w:val="clear" w:color="auto" w:fill="auto"/>
            <w:noWrap/>
            <w:vAlign w:val="bottom"/>
            <w:hideMark/>
          </w:tcPr>
          <w:p w14:paraId="2759CA00" w14:textId="77777777" w:rsidR="00C01F53" w:rsidRPr="00C01F53" w:rsidRDefault="00C01F53" w:rsidP="00C01F53">
            <w:pPr>
              <w:spacing w:after="0" w:line="240" w:lineRule="auto"/>
              <w:rPr>
                <w:rFonts w:ascii="Calibri" w:eastAsia="Times New Roman" w:hAnsi="Calibri" w:cs="Calibri"/>
                <w:b/>
                <w:bCs/>
                <w:color w:val="000000"/>
                <w:lang w:eastAsia="fr-BE"/>
              </w:rPr>
            </w:pPr>
          </w:p>
        </w:tc>
        <w:tc>
          <w:tcPr>
            <w:tcW w:w="59" w:type="dxa"/>
            <w:tcBorders>
              <w:top w:val="nil"/>
              <w:left w:val="nil"/>
              <w:bottom w:val="nil"/>
              <w:right w:val="nil"/>
            </w:tcBorders>
            <w:shd w:val="clear" w:color="auto" w:fill="auto"/>
            <w:noWrap/>
            <w:vAlign w:val="bottom"/>
            <w:hideMark/>
          </w:tcPr>
          <w:p w14:paraId="3AA7341F"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8" w:space="0" w:color="auto"/>
              <w:right w:val="nil"/>
            </w:tcBorders>
            <w:shd w:val="clear" w:color="auto" w:fill="auto"/>
            <w:noWrap/>
            <w:vAlign w:val="bottom"/>
            <w:hideMark/>
          </w:tcPr>
          <w:p w14:paraId="3B876619" w14:textId="1D1A3BAD" w:rsidR="00C01F53" w:rsidRPr="00C01F53" w:rsidRDefault="003A54DB" w:rsidP="00C01F53">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Land van oorsprong</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5464A8F1" w14:textId="58C9E97C" w:rsidR="00C01F53" w:rsidRPr="00C01F53" w:rsidRDefault="000D4D98" w:rsidP="00C01F53">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Hoeveelheid</w:t>
            </w:r>
          </w:p>
        </w:tc>
        <w:tc>
          <w:tcPr>
            <w:tcW w:w="36" w:type="dxa"/>
            <w:vAlign w:val="center"/>
            <w:hideMark/>
          </w:tcPr>
          <w:p w14:paraId="34B219EA"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652EA9B1" w14:textId="77777777" w:rsidTr="00C01F53">
        <w:trPr>
          <w:trHeight w:val="315"/>
        </w:trPr>
        <w:tc>
          <w:tcPr>
            <w:tcW w:w="2630" w:type="dxa"/>
            <w:tcBorders>
              <w:top w:val="nil"/>
              <w:left w:val="single" w:sz="8" w:space="0" w:color="auto"/>
              <w:bottom w:val="single" w:sz="4" w:space="0" w:color="auto"/>
              <w:right w:val="nil"/>
            </w:tcBorders>
            <w:shd w:val="clear" w:color="auto" w:fill="auto"/>
            <w:noWrap/>
            <w:vAlign w:val="bottom"/>
            <w:hideMark/>
          </w:tcPr>
          <w:p w14:paraId="1C1D53B0" w14:textId="7AFD2673"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Belgi</w:t>
            </w:r>
            <w:r w:rsidR="000D4D98">
              <w:rPr>
                <w:rFonts w:ascii="Calibri" w:eastAsia="Times New Roman" w:hAnsi="Calibri" w:cs="Calibri"/>
                <w:color w:val="000000"/>
                <w:lang w:eastAsia="fr-BE"/>
              </w:rPr>
              <w:t>ë</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C204056"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10</w:t>
            </w:r>
          </w:p>
        </w:tc>
        <w:tc>
          <w:tcPr>
            <w:tcW w:w="59" w:type="dxa"/>
            <w:tcBorders>
              <w:top w:val="nil"/>
              <w:left w:val="nil"/>
              <w:bottom w:val="nil"/>
              <w:right w:val="nil"/>
            </w:tcBorders>
            <w:shd w:val="clear" w:color="auto" w:fill="auto"/>
            <w:noWrap/>
            <w:vAlign w:val="bottom"/>
            <w:hideMark/>
          </w:tcPr>
          <w:p w14:paraId="6C50DBF6"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75135976"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25BEFB1" w14:textId="69A2C04D" w:rsidR="00C01F53" w:rsidRPr="00C01F53" w:rsidRDefault="000D4D98" w:rsidP="00C01F53">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Nederland</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C071B77"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16</w:t>
            </w:r>
          </w:p>
        </w:tc>
        <w:tc>
          <w:tcPr>
            <w:tcW w:w="36" w:type="dxa"/>
            <w:vAlign w:val="center"/>
            <w:hideMark/>
          </w:tcPr>
          <w:p w14:paraId="57B5669E"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1E882699" w14:textId="77777777" w:rsidTr="00C01F53">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4A30D387" w14:textId="37FB864C" w:rsidR="00C01F53" w:rsidRPr="00C01F53" w:rsidRDefault="000D4D98" w:rsidP="00C01F53">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Duitsland</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E2FAEEB"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59" w:type="dxa"/>
            <w:tcBorders>
              <w:top w:val="nil"/>
              <w:left w:val="nil"/>
              <w:bottom w:val="nil"/>
              <w:right w:val="nil"/>
            </w:tcBorders>
            <w:shd w:val="clear" w:color="auto" w:fill="auto"/>
            <w:noWrap/>
            <w:vAlign w:val="bottom"/>
            <w:hideMark/>
          </w:tcPr>
          <w:p w14:paraId="16565526"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090D5C3D"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09843EF" w14:textId="63FCABF0"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Belgi</w:t>
            </w:r>
            <w:r w:rsidR="000D4D98">
              <w:rPr>
                <w:rFonts w:ascii="Calibri" w:eastAsia="Times New Roman" w:hAnsi="Calibri" w:cs="Calibri"/>
                <w:color w:val="000000"/>
                <w:lang w:eastAsia="fr-BE"/>
              </w:rPr>
              <w:t>ë</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C73155E"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10</w:t>
            </w:r>
          </w:p>
        </w:tc>
        <w:tc>
          <w:tcPr>
            <w:tcW w:w="36" w:type="dxa"/>
            <w:vAlign w:val="center"/>
            <w:hideMark/>
          </w:tcPr>
          <w:p w14:paraId="7607A66A"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2B13C82E" w14:textId="77777777" w:rsidTr="00C01F53">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683D793F" w14:textId="7AF23238"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Lit</w:t>
            </w:r>
            <w:r w:rsidR="000D4D98">
              <w:rPr>
                <w:rFonts w:ascii="Calibri" w:eastAsia="Times New Roman" w:hAnsi="Calibri" w:cs="Calibri"/>
                <w:color w:val="000000"/>
                <w:lang w:eastAsia="fr-BE"/>
              </w:rPr>
              <w:t>ouwen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9615289"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59" w:type="dxa"/>
            <w:tcBorders>
              <w:top w:val="nil"/>
              <w:left w:val="nil"/>
              <w:bottom w:val="nil"/>
              <w:right w:val="nil"/>
            </w:tcBorders>
            <w:shd w:val="clear" w:color="auto" w:fill="auto"/>
            <w:noWrap/>
            <w:vAlign w:val="bottom"/>
            <w:hideMark/>
          </w:tcPr>
          <w:p w14:paraId="45A813C8"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5C0BBA78"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8FD6D21" w14:textId="3B7F76A6" w:rsidR="00C01F53" w:rsidRPr="00C01F53" w:rsidRDefault="000D4D98" w:rsidP="00C01F53">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Duitsland</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3D50552B"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36" w:type="dxa"/>
            <w:vAlign w:val="center"/>
            <w:hideMark/>
          </w:tcPr>
          <w:p w14:paraId="4DE025B7"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3316B5F6" w14:textId="77777777" w:rsidTr="00C01F53">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30F3595D" w14:textId="14757F3B"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Ne</w:t>
            </w:r>
            <w:r w:rsidR="000D4D98">
              <w:rPr>
                <w:rFonts w:ascii="Calibri" w:eastAsia="Times New Roman" w:hAnsi="Calibri" w:cs="Calibri"/>
                <w:color w:val="000000"/>
                <w:lang w:eastAsia="fr-BE"/>
              </w:rPr>
              <w:t>derland</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02B817A9"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16</w:t>
            </w:r>
          </w:p>
        </w:tc>
        <w:tc>
          <w:tcPr>
            <w:tcW w:w="59" w:type="dxa"/>
            <w:tcBorders>
              <w:top w:val="nil"/>
              <w:left w:val="nil"/>
              <w:bottom w:val="nil"/>
              <w:right w:val="nil"/>
            </w:tcBorders>
            <w:shd w:val="clear" w:color="auto" w:fill="auto"/>
            <w:noWrap/>
            <w:vAlign w:val="bottom"/>
            <w:hideMark/>
          </w:tcPr>
          <w:p w14:paraId="6B705DD2"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50CC40AB"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6D9C8F2" w14:textId="7376CA34"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Lit</w:t>
            </w:r>
            <w:r w:rsidR="000D4D98">
              <w:rPr>
                <w:rFonts w:ascii="Calibri" w:eastAsia="Times New Roman" w:hAnsi="Calibri" w:cs="Calibri"/>
                <w:color w:val="000000"/>
                <w:lang w:eastAsia="fr-BE"/>
              </w:rPr>
              <w:t>ouwen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BFECA2D"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36" w:type="dxa"/>
            <w:vAlign w:val="center"/>
            <w:hideMark/>
          </w:tcPr>
          <w:p w14:paraId="689EE727"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28461D5C" w14:textId="77777777" w:rsidTr="00C01F53">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094F5C56" w14:textId="68018291"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Pol</w:t>
            </w:r>
            <w:r w:rsidR="000D4D98">
              <w:rPr>
                <w:rFonts w:ascii="Calibri" w:eastAsia="Times New Roman" w:hAnsi="Calibri" w:cs="Calibri"/>
                <w:color w:val="000000"/>
                <w:lang w:eastAsia="fr-BE"/>
              </w:rPr>
              <w:t>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4960B09"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59" w:type="dxa"/>
            <w:tcBorders>
              <w:top w:val="nil"/>
              <w:left w:val="nil"/>
              <w:bottom w:val="nil"/>
              <w:right w:val="nil"/>
            </w:tcBorders>
            <w:shd w:val="clear" w:color="auto" w:fill="auto"/>
            <w:noWrap/>
            <w:vAlign w:val="bottom"/>
            <w:hideMark/>
          </w:tcPr>
          <w:p w14:paraId="4B323029"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5F6E7134"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AF9CFB4" w14:textId="7A60EF5C" w:rsidR="00C01F53" w:rsidRPr="00C01F53" w:rsidRDefault="000D4D98" w:rsidP="00C01F53">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Zweden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CA1F0E0"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36" w:type="dxa"/>
            <w:vAlign w:val="center"/>
            <w:hideMark/>
          </w:tcPr>
          <w:p w14:paraId="7BA29BF6"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59809ACE" w14:textId="77777777" w:rsidTr="00C01F53">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24E128F7" w14:textId="4EF3E011"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Spa</w:t>
            </w:r>
            <w:r w:rsidR="000D4D98">
              <w:rPr>
                <w:rFonts w:ascii="Calibri" w:eastAsia="Times New Roman" w:hAnsi="Calibri" w:cs="Calibri"/>
                <w:color w:val="000000"/>
                <w:lang w:eastAsia="fr-BE"/>
              </w:rPr>
              <w:t>nje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CED5DB3"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59" w:type="dxa"/>
            <w:tcBorders>
              <w:top w:val="nil"/>
              <w:left w:val="nil"/>
              <w:bottom w:val="nil"/>
              <w:right w:val="nil"/>
            </w:tcBorders>
            <w:shd w:val="clear" w:color="auto" w:fill="auto"/>
            <w:noWrap/>
            <w:vAlign w:val="bottom"/>
            <w:hideMark/>
          </w:tcPr>
          <w:p w14:paraId="6930914A"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0742A811"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3364209" w14:textId="32E11B4A"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Pol</w:t>
            </w:r>
            <w:r w:rsidR="000D4D98">
              <w:rPr>
                <w:rFonts w:ascii="Calibri" w:eastAsia="Times New Roman" w:hAnsi="Calibri" w:cs="Calibri"/>
                <w:color w:val="000000"/>
                <w:lang w:eastAsia="fr-BE"/>
              </w:rPr>
              <w:t>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3900D09"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36" w:type="dxa"/>
            <w:vAlign w:val="center"/>
            <w:hideMark/>
          </w:tcPr>
          <w:p w14:paraId="78511431"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5C2DC8F3" w14:textId="77777777" w:rsidTr="00C01F53">
        <w:trPr>
          <w:trHeight w:val="315"/>
        </w:trPr>
        <w:tc>
          <w:tcPr>
            <w:tcW w:w="2630" w:type="dxa"/>
            <w:tcBorders>
              <w:top w:val="nil"/>
              <w:left w:val="single" w:sz="8" w:space="0" w:color="auto"/>
              <w:bottom w:val="single" w:sz="4" w:space="0" w:color="auto"/>
              <w:right w:val="nil"/>
            </w:tcBorders>
            <w:shd w:val="clear" w:color="auto" w:fill="auto"/>
            <w:noWrap/>
            <w:vAlign w:val="bottom"/>
            <w:hideMark/>
          </w:tcPr>
          <w:p w14:paraId="35BFA62E" w14:textId="62845306" w:rsidR="00C01F53" w:rsidRPr="00C01F53" w:rsidRDefault="000D4D98" w:rsidP="00C01F53">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Zweden</w:t>
            </w:r>
          </w:p>
        </w:tc>
        <w:tc>
          <w:tcPr>
            <w:tcW w:w="1371" w:type="dxa"/>
            <w:tcBorders>
              <w:top w:val="nil"/>
              <w:left w:val="single" w:sz="8" w:space="0" w:color="auto"/>
              <w:bottom w:val="nil"/>
              <w:right w:val="single" w:sz="8" w:space="0" w:color="auto"/>
            </w:tcBorders>
            <w:shd w:val="clear" w:color="auto" w:fill="auto"/>
            <w:noWrap/>
            <w:vAlign w:val="bottom"/>
            <w:hideMark/>
          </w:tcPr>
          <w:p w14:paraId="14570848"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59" w:type="dxa"/>
            <w:tcBorders>
              <w:top w:val="nil"/>
              <w:left w:val="nil"/>
              <w:bottom w:val="nil"/>
              <w:right w:val="nil"/>
            </w:tcBorders>
            <w:shd w:val="clear" w:color="auto" w:fill="auto"/>
            <w:noWrap/>
            <w:vAlign w:val="bottom"/>
            <w:hideMark/>
          </w:tcPr>
          <w:p w14:paraId="69E57644"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22F6ECD1"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75E7C6CB" w14:textId="48E7CB25" w:rsidR="00C01F53" w:rsidRPr="00C01F53" w:rsidRDefault="00C01F53" w:rsidP="00C01F53">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Spa</w:t>
            </w:r>
            <w:r w:rsidR="000D4D98">
              <w:rPr>
                <w:rFonts w:ascii="Calibri" w:eastAsia="Times New Roman" w:hAnsi="Calibri" w:cs="Calibri"/>
                <w:color w:val="000000"/>
                <w:lang w:eastAsia="fr-BE"/>
              </w:rPr>
              <w:t>nje</w:t>
            </w:r>
          </w:p>
        </w:tc>
        <w:tc>
          <w:tcPr>
            <w:tcW w:w="1371" w:type="dxa"/>
            <w:tcBorders>
              <w:top w:val="nil"/>
              <w:left w:val="single" w:sz="8" w:space="0" w:color="auto"/>
              <w:bottom w:val="nil"/>
              <w:right w:val="single" w:sz="8" w:space="0" w:color="auto"/>
            </w:tcBorders>
            <w:shd w:val="clear" w:color="auto" w:fill="auto"/>
            <w:noWrap/>
            <w:vAlign w:val="bottom"/>
            <w:hideMark/>
          </w:tcPr>
          <w:p w14:paraId="57C254C7"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36" w:type="dxa"/>
            <w:vAlign w:val="center"/>
            <w:hideMark/>
          </w:tcPr>
          <w:p w14:paraId="553B3A06"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r w:rsidR="00C01F53" w:rsidRPr="00C01F53" w14:paraId="2AE47408" w14:textId="77777777" w:rsidTr="00C01F53">
        <w:trPr>
          <w:trHeight w:val="315"/>
        </w:trPr>
        <w:tc>
          <w:tcPr>
            <w:tcW w:w="2630" w:type="dxa"/>
            <w:tcBorders>
              <w:top w:val="nil"/>
              <w:left w:val="nil"/>
              <w:bottom w:val="nil"/>
              <w:right w:val="nil"/>
            </w:tcBorders>
            <w:shd w:val="clear" w:color="auto" w:fill="auto"/>
            <w:noWrap/>
            <w:vAlign w:val="bottom"/>
            <w:hideMark/>
          </w:tcPr>
          <w:p w14:paraId="63830B23"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1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4F1708"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34</w:t>
            </w:r>
          </w:p>
        </w:tc>
        <w:tc>
          <w:tcPr>
            <w:tcW w:w="59" w:type="dxa"/>
            <w:tcBorders>
              <w:top w:val="nil"/>
              <w:left w:val="nil"/>
              <w:bottom w:val="nil"/>
              <w:right w:val="nil"/>
            </w:tcBorders>
            <w:shd w:val="clear" w:color="auto" w:fill="auto"/>
            <w:noWrap/>
            <w:vAlign w:val="bottom"/>
            <w:hideMark/>
          </w:tcPr>
          <w:p w14:paraId="3633552A" w14:textId="77777777" w:rsidR="00C01F53" w:rsidRPr="00C01F53" w:rsidRDefault="00C01F53" w:rsidP="00C01F53">
            <w:pPr>
              <w:spacing w:after="0" w:line="240" w:lineRule="auto"/>
              <w:jc w:val="center"/>
              <w:rPr>
                <w:rFonts w:ascii="Calibri" w:eastAsia="Times New Roman" w:hAnsi="Calibri" w:cs="Calibri"/>
                <w:color w:val="000000"/>
                <w:lang w:eastAsia="fr-BE"/>
              </w:rPr>
            </w:pPr>
          </w:p>
        </w:tc>
        <w:tc>
          <w:tcPr>
            <w:tcW w:w="59" w:type="dxa"/>
            <w:tcBorders>
              <w:top w:val="nil"/>
              <w:left w:val="nil"/>
              <w:bottom w:val="nil"/>
              <w:right w:val="nil"/>
            </w:tcBorders>
            <w:shd w:val="clear" w:color="auto" w:fill="auto"/>
            <w:noWrap/>
            <w:vAlign w:val="bottom"/>
            <w:hideMark/>
          </w:tcPr>
          <w:p w14:paraId="6A56FC21"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2630" w:type="dxa"/>
            <w:tcBorders>
              <w:top w:val="nil"/>
              <w:left w:val="nil"/>
              <w:bottom w:val="nil"/>
              <w:right w:val="nil"/>
            </w:tcBorders>
            <w:shd w:val="clear" w:color="auto" w:fill="auto"/>
            <w:noWrap/>
            <w:vAlign w:val="bottom"/>
            <w:hideMark/>
          </w:tcPr>
          <w:p w14:paraId="26136FF5"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c>
          <w:tcPr>
            <w:tcW w:w="1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BAC80B" w14:textId="77777777" w:rsidR="00C01F53" w:rsidRPr="00C01F53" w:rsidRDefault="00C01F53" w:rsidP="00C01F53">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34</w:t>
            </w:r>
          </w:p>
        </w:tc>
        <w:tc>
          <w:tcPr>
            <w:tcW w:w="36" w:type="dxa"/>
            <w:vAlign w:val="center"/>
            <w:hideMark/>
          </w:tcPr>
          <w:p w14:paraId="6299371E" w14:textId="77777777" w:rsidR="00C01F53" w:rsidRPr="00C01F53" w:rsidRDefault="00C01F53" w:rsidP="00C01F53">
            <w:pPr>
              <w:spacing w:after="0" w:line="240" w:lineRule="auto"/>
              <w:rPr>
                <w:rFonts w:ascii="Times New Roman" w:eastAsia="Times New Roman" w:hAnsi="Times New Roman" w:cs="Times New Roman"/>
                <w:sz w:val="20"/>
                <w:szCs w:val="20"/>
                <w:lang w:eastAsia="fr-BE"/>
              </w:rPr>
            </w:pPr>
          </w:p>
        </w:tc>
      </w:tr>
    </w:tbl>
    <w:p w14:paraId="3D8A92A3" w14:textId="77777777" w:rsidR="00C01F53" w:rsidRDefault="00C01F53" w:rsidP="00D74336">
      <w:pPr>
        <w:rPr>
          <w:lang w:val="nl-BE"/>
        </w:rPr>
      </w:pPr>
    </w:p>
    <w:p w14:paraId="2BF4E9A0" w14:textId="77C4C871" w:rsidR="00745806" w:rsidRDefault="002D4DA4" w:rsidP="00D74336">
      <w:pPr>
        <w:rPr>
          <w:lang w:val="nl-BE"/>
        </w:rPr>
      </w:pPr>
      <w:r>
        <w:rPr>
          <w:lang w:val="nl-BE"/>
        </w:rPr>
        <w:lastRenderedPageBreak/>
        <w:t>Natuurlijk zijn er doorheen de andere hallen van de Meubelbeurs</w:t>
      </w:r>
      <w:r w:rsidR="00D078F4">
        <w:rPr>
          <w:lang w:val="nl-BE"/>
        </w:rPr>
        <w:t xml:space="preserve"> nog</w:t>
      </w:r>
      <w:r>
        <w:rPr>
          <w:lang w:val="nl-BE"/>
        </w:rPr>
        <w:t xml:space="preserve"> meer fabrikanten die actief zijn in de slaapsector. Op de stand ‘The Woods’ in hal 6 vind je alvast een voorsmaakje van hun producten, met referentie naar hun stand.</w:t>
      </w:r>
    </w:p>
    <w:p w14:paraId="7DC131A8" w14:textId="77777777" w:rsidR="007079D1" w:rsidRDefault="007079D1" w:rsidP="00D74336">
      <w:pPr>
        <w:rPr>
          <w:lang w:val="nl-BE"/>
        </w:rPr>
      </w:pPr>
    </w:p>
    <w:p w14:paraId="57B5FB78" w14:textId="6FC2A636" w:rsidR="00C01F53" w:rsidRPr="00600B92" w:rsidRDefault="004C0291" w:rsidP="00D74336">
      <w:pPr>
        <w:rPr>
          <w:b/>
          <w:bCs/>
          <w:lang w:val="nl-BE"/>
        </w:rPr>
      </w:pPr>
      <w:r w:rsidRPr="00600B92">
        <w:rPr>
          <w:b/>
          <w:bCs/>
          <w:lang w:val="nl-BE"/>
        </w:rPr>
        <w:t>Contract</w:t>
      </w:r>
    </w:p>
    <w:p w14:paraId="59AD7EA9" w14:textId="4AA17066" w:rsidR="00C90274" w:rsidRPr="004C0291" w:rsidRDefault="004C0291" w:rsidP="00C90274">
      <w:pPr>
        <w:rPr>
          <w:lang w:val="nl-BE"/>
        </w:rPr>
      </w:pPr>
      <w:r>
        <w:rPr>
          <w:lang w:val="nl-BE"/>
        </w:rPr>
        <w:t xml:space="preserve">Een belangrijke evolutie, intussen welbekend, is de </w:t>
      </w:r>
      <w:r w:rsidR="00600B92">
        <w:rPr>
          <w:lang w:val="nl-BE"/>
        </w:rPr>
        <w:t>stijgende</w:t>
      </w:r>
      <w:r>
        <w:rPr>
          <w:lang w:val="nl-BE"/>
        </w:rPr>
        <w:t xml:space="preserve"> aandacht van fabrikanten voor </w:t>
      </w:r>
      <w:r w:rsidR="00600B92">
        <w:rPr>
          <w:lang w:val="nl-BE"/>
        </w:rPr>
        <w:t xml:space="preserve">de projectmarkt. </w:t>
      </w:r>
      <w:r w:rsidR="007F2585">
        <w:rPr>
          <w:lang w:val="nl-BE"/>
        </w:rPr>
        <w:t>Een trend die ook opvalt op de Meubelbeurs zelf.</w:t>
      </w:r>
      <w:r w:rsidR="00600B92">
        <w:rPr>
          <w:lang w:val="nl-BE"/>
        </w:rPr>
        <w:t xml:space="preserve"> Steeds meer exposanten richten zich op contract-specialisten</w:t>
      </w:r>
      <w:r w:rsidR="00F334C3">
        <w:rPr>
          <w:lang w:val="nl-BE"/>
        </w:rPr>
        <w:t xml:space="preserve"> en vragen</w:t>
      </w:r>
      <w:r w:rsidR="007F2585">
        <w:rPr>
          <w:lang w:val="nl-BE"/>
        </w:rPr>
        <w:t xml:space="preserve"> daarom</w:t>
      </w:r>
      <w:r w:rsidR="00F334C3">
        <w:rPr>
          <w:lang w:val="nl-BE"/>
        </w:rPr>
        <w:t xml:space="preserve"> dat w</w:t>
      </w:r>
      <w:r w:rsidR="007F2585">
        <w:rPr>
          <w:lang w:val="nl-BE"/>
        </w:rPr>
        <w:t>e</w:t>
      </w:r>
      <w:r w:rsidR="00F334C3">
        <w:rPr>
          <w:lang w:val="nl-BE"/>
        </w:rPr>
        <w:t xml:space="preserve"> hun stand voorzien van het Contract-label op het hallenplan</w:t>
      </w:r>
      <w:r w:rsidR="00600B92">
        <w:rPr>
          <w:lang w:val="nl-BE"/>
        </w:rPr>
        <w:t xml:space="preserve">. We tellen dit jaar 65 exposanten die het label aangevraagd hebben, een stijging </w:t>
      </w:r>
      <w:r w:rsidR="00F334C3">
        <w:rPr>
          <w:lang w:val="nl-BE"/>
        </w:rPr>
        <w:t xml:space="preserve">van 30% </w:t>
      </w:r>
      <w:r w:rsidR="00600B92">
        <w:rPr>
          <w:lang w:val="nl-BE"/>
        </w:rPr>
        <w:t xml:space="preserve">t.o.v. </w:t>
      </w:r>
      <w:r w:rsidR="00F334C3">
        <w:rPr>
          <w:lang w:val="nl-BE"/>
        </w:rPr>
        <w:t xml:space="preserve">de voorgaande editie. We merken </w:t>
      </w:r>
      <w:r w:rsidR="007F2585">
        <w:rPr>
          <w:lang w:val="nl-BE"/>
        </w:rPr>
        <w:t>een gelijklopende trend wanneer</w:t>
      </w:r>
      <w:r w:rsidR="00F334C3">
        <w:rPr>
          <w:lang w:val="nl-BE"/>
        </w:rPr>
        <w:t xml:space="preserve"> we ons buigen over de bezoekersprofielen. Zo ontvangt de Meubelbeurs elk jaar een groter aantal interieurarchitecten, al </w:t>
      </w:r>
      <w:r w:rsidR="007F2585">
        <w:rPr>
          <w:lang w:val="nl-BE"/>
        </w:rPr>
        <w:t>loopt hun opkomst</w:t>
      </w:r>
      <w:r w:rsidR="00F334C3">
        <w:rPr>
          <w:lang w:val="nl-BE"/>
        </w:rPr>
        <w:t xml:space="preserve"> </w:t>
      </w:r>
      <w:r w:rsidR="007F2585">
        <w:rPr>
          <w:lang w:val="nl-BE"/>
        </w:rPr>
        <w:t xml:space="preserve">nog </w:t>
      </w:r>
      <w:r w:rsidR="00F334C3">
        <w:rPr>
          <w:lang w:val="nl-BE"/>
        </w:rPr>
        <w:t xml:space="preserve">niet recht evenredig met de stijging van </w:t>
      </w:r>
      <w:r w:rsidR="007F2585">
        <w:rPr>
          <w:lang w:val="nl-BE"/>
        </w:rPr>
        <w:t xml:space="preserve">de </w:t>
      </w:r>
      <w:r w:rsidR="00F334C3">
        <w:rPr>
          <w:lang w:val="nl-BE"/>
        </w:rPr>
        <w:t>contract exposanten. Een signaal voor ons dat er verder gewerkt moet worden op deze opportuniteit</w:t>
      </w:r>
      <w:r w:rsidR="00442E09">
        <w:rPr>
          <w:lang w:val="nl-BE"/>
        </w:rPr>
        <w:t>!</w:t>
      </w:r>
    </w:p>
    <w:p w14:paraId="3B704D56" w14:textId="77777777" w:rsidR="00780B0C" w:rsidRDefault="00780B0C" w:rsidP="00D74336">
      <w:pPr>
        <w:rPr>
          <w:lang w:val="nl-BE"/>
        </w:rPr>
      </w:pPr>
    </w:p>
    <w:p w14:paraId="2C874CFC" w14:textId="368E3139" w:rsidR="00442E09" w:rsidRPr="00442E09" w:rsidRDefault="00442E09" w:rsidP="00D74336">
      <w:pPr>
        <w:rPr>
          <w:b/>
          <w:bCs/>
          <w:lang w:val="nl-BE"/>
        </w:rPr>
      </w:pPr>
      <w:r w:rsidRPr="00442E09">
        <w:rPr>
          <w:b/>
          <w:bCs/>
          <w:lang w:val="nl-BE"/>
        </w:rPr>
        <w:t>Toekomstvisie</w:t>
      </w:r>
    </w:p>
    <w:p w14:paraId="4D9108E3" w14:textId="2DBAC340" w:rsidR="00780B0C" w:rsidRDefault="00780B0C" w:rsidP="00D74336">
      <w:pPr>
        <w:rPr>
          <w:lang w:val="nl-BE"/>
        </w:rPr>
      </w:pPr>
      <w:r>
        <w:rPr>
          <w:lang w:val="nl-BE"/>
        </w:rPr>
        <w:t xml:space="preserve">Afsluiten doen we weer door de blik te werpen op de toekomst. Wat mogen jullie verwachten voor de </w:t>
      </w:r>
      <w:r w:rsidR="00442E09">
        <w:rPr>
          <w:lang w:val="nl-BE"/>
        </w:rPr>
        <w:t>Meubelbeurs</w:t>
      </w:r>
      <w:r>
        <w:rPr>
          <w:lang w:val="nl-BE"/>
        </w:rPr>
        <w:t xml:space="preserve"> </w:t>
      </w:r>
      <w:r w:rsidR="00442E09">
        <w:rPr>
          <w:lang w:val="nl-BE"/>
        </w:rPr>
        <w:t>20</w:t>
      </w:r>
      <w:r>
        <w:rPr>
          <w:lang w:val="nl-BE"/>
        </w:rPr>
        <w:t>24</w:t>
      </w:r>
      <w:r w:rsidR="00442E09">
        <w:rPr>
          <w:lang w:val="nl-BE"/>
        </w:rPr>
        <w:t>?</w:t>
      </w:r>
    </w:p>
    <w:p w14:paraId="758FF47C" w14:textId="1DF4A297" w:rsidR="002D4DA4" w:rsidRDefault="008D09EA" w:rsidP="002D4DA4">
      <w:pPr>
        <w:rPr>
          <w:lang w:val="nl-BE"/>
        </w:rPr>
      </w:pPr>
      <w:r>
        <w:rPr>
          <w:lang w:val="nl-BE"/>
        </w:rPr>
        <w:t>De volgende editie van de Meubelbeurs zal plaatsvinden van 3 tot 6 november 2024. De basis blijft onveranderd. De Meubelbeurs staat voor zekerheid, efficiëntie en goed zakendoen</w:t>
      </w:r>
      <w:r w:rsidR="007F2585">
        <w:rPr>
          <w:lang w:val="nl-BE"/>
        </w:rPr>
        <w:t xml:space="preserve"> in een sfeervolle omgeving</w:t>
      </w:r>
      <w:r>
        <w:rPr>
          <w:lang w:val="nl-BE"/>
        </w:rPr>
        <w:t xml:space="preserve">. Daarnaast willen we de eerder genoemde opportuniteiten verder uitbouwen. Hierbij </w:t>
      </w:r>
      <w:r w:rsidR="007F2585">
        <w:rPr>
          <w:lang w:val="nl-BE"/>
        </w:rPr>
        <w:t xml:space="preserve">is het niet de bedoeling van </w:t>
      </w:r>
      <w:r>
        <w:rPr>
          <w:lang w:val="nl-BE"/>
        </w:rPr>
        <w:t>t</w:t>
      </w:r>
      <w:r w:rsidR="007F2585">
        <w:rPr>
          <w:lang w:val="nl-BE"/>
        </w:rPr>
        <w:t>e</w:t>
      </w:r>
      <w:r>
        <w:rPr>
          <w:lang w:val="nl-BE"/>
        </w:rPr>
        <w:t xml:space="preserve"> groeien om te groeien, maar vooral een event zijn voor alle actoren uit onze sector, zodat de Meubelbeurs door iedereen wordt ervaren als dé feestdag voor de meubelprofessionals.</w:t>
      </w:r>
    </w:p>
    <w:p w14:paraId="0764251A" w14:textId="77777777" w:rsidR="00D307B5" w:rsidRDefault="00D307B5" w:rsidP="00D307B5">
      <w:pPr>
        <w:rPr>
          <w:lang w:val="nl-BE"/>
        </w:rPr>
      </w:pPr>
    </w:p>
    <w:p w14:paraId="442A345B" w14:textId="77777777" w:rsidR="007079D1" w:rsidRDefault="007079D1" w:rsidP="00D307B5">
      <w:pPr>
        <w:rPr>
          <w:lang w:val="nl-BE"/>
        </w:rPr>
      </w:pPr>
    </w:p>
    <w:p w14:paraId="60E47F5C" w14:textId="46B3A4CD" w:rsidR="004E25DC" w:rsidRDefault="004E25DC" w:rsidP="00D307B5">
      <w:pPr>
        <w:rPr>
          <w:lang w:val="nl-BE"/>
        </w:rPr>
      </w:pPr>
      <w:r>
        <w:rPr>
          <w:lang w:val="nl-BE"/>
        </w:rPr>
        <w:t>Hartelijk dank!</w:t>
      </w:r>
    </w:p>
    <w:p w14:paraId="66F0CEBB" w14:textId="0E1ED0AD" w:rsidR="007079D1" w:rsidRPr="00D307B5" w:rsidRDefault="007079D1" w:rsidP="00D307B5">
      <w:pPr>
        <w:rPr>
          <w:lang w:val="nl-BE"/>
        </w:rPr>
      </w:pPr>
    </w:p>
    <w:sectPr w:rsidR="007079D1" w:rsidRPr="00D307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653B" w14:textId="77777777" w:rsidR="008E02C8" w:rsidRDefault="008E02C8" w:rsidP="007079D1">
      <w:pPr>
        <w:spacing w:after="0" w:line="240" w:lineRule="auto"/>
      </w:pPr>
      <w:r>
        <w:separator/>
      </w:r>
    </w:p>
  </w:endnote>
  <w:endnote w:type="continuationSeparator" w:id="0">
    <w:p w14:paraId="4A1489B1" w14:textId="77777777" w:rsidR="008E02C8" w:rsidRDefault="008E02C8" w:rsidP="0070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panose1 w:val="00000000000000000000"/>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2E0A" w14:textId="77777777" w:rsidR="007079D1" w:rsidRDefault="007079D1">
    <w:pPr>
      <w:pStyle w:val="Footer"/>
    </w:pPr>
  </w:p>
  <w:p w14:paraId="1D89AA1C" w14:textId="3A57AB02" w:rsidR="007079D1" w:rsidRDefault="007079D1" w:rsidP="007079D1">
    <w:pPr>
      <w:pStyle w:val="Footer"/>
      <w:jc w:val="center"/>
    </w:pPr>
    <w:r>
      <w:drawing>
        <wp:inline distT="0" distB="0" distL="0" distR="0" wp14:anchorId="6C97DC16" wp14:editId="1B468947">
          <wp:extent cx="762000" cy="394170"/>
          <wp:effectExtent l="0" t="0" r="0" b="6350"/>
          <wp:docPr id="571278096" name="Picture 4" descr="A black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78096" name="Picture 4" descr="A black and white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077" cy="395762"/>
                  </a:xfrm>
                  <a:prstGeom prst="rect">
                    <a:avLst/>
                  </a:prstGeom>
                </pic:spPr>
              </pic:pic>
            </a:graphicData>
          </a:graphic>
        </wp:inline>
      </w:drawing>
    </w:r>
  </w:p>
  <w:p w14:paraId="708ED211" w14:textId="77777777" w:rsidR="007079D1" w:rsidRDefault="0070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690" w14:textId="77777777" w:rsidR="008E02C8" w:rsidRDefault="008E02C8" w:rsidP="007079D1">
      <w:pPr>
        <w:spacing w:after="0" w:line="240" w:lineRule="auto"/>
      </w:pPr>
      <w:r>
        <w:separator/>
      </w:r>
    </w:p>
  </w:footnote>
  <w:footnote w:type="continuationSeparator" w:id="0">
    <w:p w14:paraId="434983B3" w14:textId="77777777" w:rsidR="008E02C8" w:rsidRDefault="008E02C8" w:rsidP="00707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029FBC"/>
    <w:lvl w:ilvl="0">
      <w:numFmt w:val="decimal"/>
      <w:lvlText w:val="*"/>
      <w:lvlJc w:val="left"/>
    </w:lvl>
  </w:abstractNum>
  <w:abstractNum w:abstractNumId="1" w15:restartNumberingAfterBreak="0">
    <w:nsid w:val="06B201B1"/>
    <w:multiLevelType w:val="hybridMultilevel"/>
    <w:tmpl w:val="EDFA1368"/>
    <w:lvl w:ilvl="0" w:tplc="8218753A">
      <w:start w:val="1000"/>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15:restartNumberingAfterBreak="0">
    <w:nsid w:val="12BE42B2"/>
    <w:multiLevelType w:val="hybridMultilevel"/>
    <w:tmpl w:val="C0A04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BD15BE"/>
    <w:multiLevelType w:val="hybridMultilevel"/>
    <w:tmpl w:val="001ECDA2"/>
    <w:lvl w:ilvl="0" w:tplc="17AA514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5254629"/>
    <w:multiLevelType w:val="hybridMultilevel"/>
    <w:tmpl w:val="3C3A0746"/>
    <w:lvl w:ilvl="0" w:tplc="715E9658">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5" w15:restartNumberingAfterBreak="0">
    <w:nsid w:val="25F32229"/>
    <w:multiLevelType w:val="hybridMultilevel"/>
    <w:tmpl w:val="A282CF84"/>
    <w:lvl w:ilvl="0" w:tplc="B7165FE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DD92BF8"/>
    <w:multiLevelType w:val="hybridMultilevel"/>
    <w:tmpl w:val="B058B518"/>
    <w:lvl w:ilvl="0" w:tplc="2C08AE56">
      <w:start w:val="3191"/>
      <w:numFmt w:val="decimal"/>
      <w:lvlText w:val="%1"/>
      <w:lvlJc w:val="left"/>
      <w:pPr>
        <w:tabs>
          <w:tab w:val="num" w:pos="5655"/>
        </w:tabs>
        <w:ind w:left="5655" w:hanging="555"/>
      </w:pPr>
      <w:rPr>
        <w:rFonts w:hint="default"/>
      </w:rPr>
    </w:lvl>
    <w:lvl w:ilvl="1" w:tplc="04130019" w:tentative="1">
      <w:start w:val="1"/>
      <w:numFmt w:val="lowerLetter"/>
      <w:lvlText w:val="%2."/>
      <w:lvlJc w:val="left"/>
      <w:pPr>
        <w:tabs>
          <w:tab w:val="num" w:pos="6180"/>
        </w:tabs>
        <w:ind w:left="6180" w:hanging="360"/>
      </w:pPr>
    </w:lvl>
    <w:lvl w:ilvl="2" w:tplc="0413001B" w:tentative="1">
      <w:start w:val="1"/>
      <w:numFmt w:val="lowerRoman"/>
      <w:lvlText w:val="%3."/>
      <w:lvlJc w:val="right"/>
      <w:pPr>
        <w:tabs>
          <w:tab w:val="num" w:pos="6900"/>
        </w:tabs>
        <w:ind w:left="6900" w:hanging="180"/>
      </w:pPr>
    </w:lvl>
    <w:lvl w:ilvl="3" w:tplc="0413000F" w:tentative="1">
      <w:start w:val="1"/>
      <w:numFmt w:val="decimal"/>
      <w:lvlText w:val="%4."/>
      <w:lvlJc w:val="left"/>
      <w:pPr>
        <w:tabs>
          <w:tab w:val="num" w:pos="7620"/>
        </w:tabs>
        <w:ind w:left="7620" w:hanging="360"/>
      </w:pPr>
    </w:lvl>
    <w:lvl w:ilvl="4" w:tplc="04130019" w:tentative="1">
      <w:start w:val="1"/>
      <w:numFmt w:val="lowerLetter"/>
      <w:lvlText w:val="%5."/>
      <w:lvlJc w:val="left"/>
      <w:pPr>
        <w:tabs>
          <w:tab w:val="num" w:pos="8340"/>
        </w:tabs>
        <w:ind w:left="8340" w:hanging="360"/>
      </w:pPr>
    </w:lvl>
    <w:lvl w:ilvl="5" w:tplc="0413001B" w:tentative="1">
      <w:start w:val="1"/>
      <w:numFmt w:val="lowerRoman"/>
      <w:lvlText w:val="%6."/>
      <w:lvlJc w:val="right"/>
      <w:pPr>
        <w:tabs>
          <w:tab w:val="num" w:pos="9060"/>
        </w:tabs>
        <w:ind w:left="9060" w:hanging="180"/>
      </w:pPr>
    </w:lvl>
    <w:lvl w:ilvl="6" w:tplc="0413000F" w:tentative="1">
      <w:start w:val="1"/>
      <w:numFmt w:val="decimal"/>
      <w:lvlText w:val="%7."/>
      <w:lvlJc w:val="left"/>
      <w:pPr>
        <w:tabs>
          <w:tab w:val="num" w:pos="9780"/>
        </w:tabs>
        <w:ind w:left="9780" w:hanging="360"/>
      </w:pPr>
    </w:lvl>
    <w:lvl w:ilvl="7" w:tplc="04130019" w:tentative="1">
      <w:start w:val="1"/>
      <w:numFmt w:val="lowerLetter"/>
      <w:lvlText w:val="%8."/>
      <w:lvlJc w:val="left"/>
      <w:pPr>
        <w:tabs>
          <w:tab w:val="num" w:pos="10500"/>
        </w:tabs>
        <w:ind w:left="10500" w:hanging="360"/>
      </w:pPr>
    </w:lvl>
    <w:lvl w:ilvl="8" w:tplc="0413001B" w:tentative="1">
      <w:start w:val="1"/>
      <w:numFmt w:val="lowerRoman"/>
      <w:lvlText w:val="%9."/>
      <w:lvlJc w:val="right"/>
      <w:pPr>
        <w:tabs>
          <w:tab w:val="num" w:pos="11220"/>
        </w:tabs>
        <w:ind w:left="11220" w:hanging="180"/>
      </w:pPr>
    </w:lvl>
  </w:abstractNum>
  <w:abstractNum w:abstractNumId="7" w15:restartNumberingAfterBreak="0">
    <w:nsid w:val="34F965C0"/>
    <w:multiLevelType w:val="hybridMultilevel"/>
    <w:tmpl w:val="84FACF5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3A214C49"/>
    <w:multiLevelType w:val="hybridMultilevel"/>
    <w:tmpl w:val="D68C707E"/>
    <w:lvl w:ilvl="0" w:tplc="CE38C85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A91568"/>
    <w:multiLevelType w:val="hybridMultilevel"/>
    <w:tmpl w:val="B128E5BE"/>
    <w:lvl w:ilvl="0" w:tplc="71101568">
      <w:start w:val="10"/>
      <w:numFmt w:val="bullet"/>
      <w:lvlText w:val="-"/>
      <w:lvlJc w:val="left"/>
      <w:pPr>
        <w:ind w:left="720" w:hanging="360"/>
      </w:pPr>
      <w:rPr>
        <w:rFonts w:ascii="Myriad Web Pro" w:eastAsia="Times New Roman" w:hAnsi="Myriad Web Pr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F96A79"/>
    <w:multiLevelType w:val="hybridMultilevel"/>
    <w:tmpl w:val="725494DE"/>
    <w:lvl w:ilvl="0" w:tplc="F9A4AFF2">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1" w15:restartNumberingAfterBreak="0">
    <w:nsid w:val="4271267B"/>
    <w:multiLevelType w:val="hybridMultilevel"/>
    <w:tmpl w:val="97E6CA8A"/>
    <w:lvl w:ilvl="0" w:tplc="A4A86E8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D23F08"/>
    <w:multiLevelType w:val="hybridMultilevel"/>
    <w:tmpl w:val="9FD64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B72E8E"/>
    <w:multiLevelType w:val="hybridMultilevel"/>
    <w:tmpl w:val="90D23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64F7BF7"/>
    <w:multiLevelType w:val="hybridMultilevel"/>
    <w:tmpl w:val="A1CC8CA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EA72407"/>
    <w:multiLevelType w:val="hybridMultilevel"/>
    <w:tmpl w:val="FE6AAD18"/>
    <w:lvl w:ilvl="0" w:tplc="43B83A24">
      <w:numFmt w:val="bullet"/>
      <w:lvlText w:val="-"/>
      <w:lvlJc w:val="left"/>
      <w:pPr>
        <w:ind w:left="720" w:hanging="360"/>
      </w:pPr>
      <w:rPr>
        <w:rFonts w:ascii="Myriad Pro" w:eastAsia="Times New Roman" w:hAnsi="Myriad Pro" w:cs="Lucida Sans Unicode"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1E504FA"/>
    <w:multiLevelType w:val="hybridMultilevel"/>
    <w:tmpl w:val="1B6072EA"/>
    <w:lvl w:ilvl="0" w:tplc="64881258">
      <w:start w:val="1"/>
      <w:numFmt w:val="bullet"/>
      <w:lvlText w:val=""/>
      <w:lvlJc w:val="left"/>
      <w:pPr>
        <w:tabs>
          <w:tab w:val="num" w:pos="567"/>
        </w:tabs>
        <w:ind w:left="567" w:hanging="567"/>
      </w:pPr>
      <w:rPr>
        <w:rFonts w:ascii="Wingdings 3" w:hAnsi="Wingdings 3"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E688F"/>
    <w:multiLevelType w:val="hybridMultilevel"/>
    <w:tmpl w:val="3A8A28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0DF1E61"/>
    <w:multiLevelType w:val="hybridMultilevel"/>
    <w:tmpl w:val="3C724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701997"/>
    <w:multiLevelType w:val="hybridMultilevel"/>
    <w:tmpl w:val="16F40BCE"/>
    <w:lvl w:ilvl="0" w:tplc="04F8E558">
      <w:start w:val="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0831E82"/>
    <w:multiLevelType w:val="multilevel"/>
    <w:tmpl w:val="39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81CA1"/>
    <w:multiLevelType w:val="hybridMultilevel"/>
    <w:tmpl w:val="FF0276AC"/>
    <w:lvl w:ilvl="0" w:tplc="FC38A9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13477733">
    <w:abstractNumId w:val="21"/>
  </w:num>
  <w:num w:numId="2" w16cid:durableId="997151719">
    <w:abstractNumId w:val="3"/>
  </w:num>
  <w:num w:numId="3" w16cid:durableId="604967515">
    <w:abstractNumId w:val="14"/>
  </w:num>
  <w:num w:numId="4" w16cid:durableId="1336835506">
    <w:abstractNumId w:val="8"/>
  </w:num>
  <w:num w:numId="5" w16cid:durableId="1559902926">
    <w:abstractNumId w:val="4"/>
  </w:num>
  <w:num w:numId="6" w16cid:durableId="1203637845">
    <w:abstractNumId w:val="10"/>
  </w:num>
  <w:num w:numId="7" w16cid:durableId="1278947352">
    <w:abstractNumId w:val="0"/>
    <w:lvlOverride w:ilvl="0">
      <w:lvl w:ilvl="0">
        <w:numFmt w:val="bullet"/>
        <w:lvlText w:val=""/>
        <w:legacy w:legacy="1" w:legacySpace="0" w:legacyIndent="0"/>
        <w:lvlJc w:val="left"/>
        <w:rPr>
          <w:rFonts w:ascii="Symbol" w:hAnsi="Symbol" w:hint="default"/>
        </w:rPr>
      </w:lvl>
    </w:lvlOverride>
  </w:num>
  <w:num w:numId="8" w16cid:durableId="574625916">
    <w:abstractNumId w:val="11"/>
  </w:num>
  <w:num w:numId="9" w16cid:durableId="590164613">
    <w:abstractNumId w:val="6"/>
  </w:num>
  <w:num w:numId="10" w16cid:durableId="159122006">
    <w:abstractNumId w:val="15"/>
  </w:num>
  <w:num w:numId="11" w16cid:durableId="16672482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3625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805001">
    <w:abstractNumId w:val="12"/>
  </w:num>
  <w:num w:numId="14" w16cid:durableId="1463576345">
    <w:abstractNumId w:val="1"/>
  </w:num>
  <w:num w:numId="15" w16cid:durableId="1293248976">
    <w:abstractNumId w:val="13"/>
  </w:num>
  <w:num w:numId="16" w16cid:durableId="713193853">
    <w:abstractNumId w:val="5"/>
  </w:num>
  <w:num w:numId="17" w16cid:durableId="64881629">
    <w:abstractNumId w:val="20"/>
  </w:num>
  <w:num w:numId="18" w16cid:durableId="138302386">
    <w:abstractNumId w:val="16"/>
  </w:num>
  <w:num w:numId="19" w16cid:durableId="169686344">
    <w:abstractNumId w:val="9"/>
  </w:num>
  <w:num w:numId="20" w16cid:durableId="247813769">
    <w:abstractNumId w:val="19"/>
  </w:num>
  <w:num w:numId="21" w16cid:durableId="854660246">
    <w:abstractNumId w:val="18"/>
  </w:num>
  <w:num w:numId="22" w16cid:durableId="1819034938">
    <w:abstractNumId w:val="2"/>
  </w:num>
  <w:num w:numId="23" w16cid:durableId="16592618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68"/>
    <w:rsid w:val="00010671"/>
    <w:rsid w:val="000155A0"/>
    <w:rsid w:val="000251C4"/>
    <w:rsid w:val="0005079B"/>
    <w:rsid w:val="00064781"/>
    <w:rsid w:val="00071E39"/>
    <w:rsid w:val="00086CB1"/>
    <w:rsid w:val="000A1FC5"/>
    <w:rsid w:val="000A79BE"/>
    <w:rsid w:val="000B3A27"/>
    <w:rsid w:val="000D4D98"/>
    <w:rsid w:val="000E1BE7"/>
    <w:rsid w:val="000F3893"/>
    <w:rsid w:val="001B3117"/>
    <w:rsid w:val="001C0692"/>
    <w:rsid w:val="001C4AC1"/>
    <w:rsid w:val="001D01B4"/>
    <w:rsid w:val="001D3A48"/>
    <w:rsid w:val="001E37E4"/>
    <w:rsid w:val="002171E9"/>
    <w:rsid w:val="0026302B"/>
    <w:rsid w:val="00277A88"/>
    <w:rsid w:val="002D4DA4"/>
    <w:rsid w:val="002E7FA9"/>
    <w:rsid w:val="002F17E2"/>
    <w:rsid w:val="00302434"/>
    <w:rsid w:val="0030729D"/>
    <w:rsid w:val="00385AB2"/>
    <w:rsid w:val="003A0AEE"/>
    <w:rsid w:val="003A54DB"/>
    <w:rsid w:val="003B333F"/>
    <w:rsid w:val="003B4E37"/>
    <w:rsid w:val="003B5D8E"/>
    <w:rsid w:val="003D0C26"/>
    <w:rsid w:val="003D1838"/>
    <w:rsid w:val="00410B88"/>
    <w:rsid w:val="00413F29"/>
    <w:rsid w:val="00442E09"/>
    <w:rsid w:val="00462910"/>
    <w:rsid w:val="004667CF"/>
    <w:rsid w:val="00493444"/>
    <w:rsid w:val="004C0291"/>
    <w:rsid w:val="004D34EB"/>
    <w:rsid w:val="004D7E35"/>
    <w:rsid w:val="004E25DC"/>
    <w:rsid w:val="004E3E78"/>
    <w:rsid w:val="004F4F04"/>
    <w:rsid w:val="005008A7"/>
    <w:rsid w:val="00572348"/>
    <w:rsid w:val="005B3A88"/>
    <w:rsid w:val="005C76FE"/>
    <w:rsid w:val="00600B92"/>
    <w:rsid w:val="00605668"/>
    <w:rsid w:val="00605E6A"/>
    <w:rsid w:val="00616108"/>
    <w:rsid w:val="00650451"/>
    <w:rsid w:val="00655AAD"/>
    <w:rsid w:val="00661918"/>
    <w:rsid w:val="00664FC3"/>
    <w:rsid w:val="006774C3"/>
    <w:rsid w:val="006B2357"/>
    <w:rsid w:val="006B30F9"/>
    <w:rsid w:val="006C5103"/>
    <w:rsid w:val="006F63AC"/>
    <w:rsid w:val="0070085D"/>
    <w:rsid w:val="007079D1"/>
    <w:rsid w:val="007239E7"/>
    <w:rsid w:val="007239FA"/>
    <w:rsid w:val="00725053"/>
    <w:rsid w:val="00745806"/>
    <w:rsid w:val="00751D20"/>
    <w:rsid w:val="00763CAF"/>
    <w:rsid w:val="0076479C"/>
    <w:rsid w:val="00773EE1"/>
    <w:rsid w:val="00776A4E"/>
    <w:rsid w:val="00780B0C"/>
    <w:rsid w:val="007A02AA"/>
    <w:rsid w:val="007E1EC7"/>
    <w:rsid w:val="007F2585"/>
    <w:rsid w:val="00814486"/>
    <w:rsid w:val="00825B30"/>
    <w:rsid w:val="008551E4"/>
    <w:rsid w:val="008A0933"/>
    <w:rsid w:val="008A623B"/>
    <w:rsid w:val="008B0A34"/>
    <w:rsid w:val="008D09EA"/>
    <w:rsid w:val="008E02C8"/>
    <w:rsid w:val="008F3D35"/>
    <w:rsid w:val="00905707"/>
    <w:rsid w:val="00907013"/>
    <w:rsid w:val="009D04C3"/>
    <w:rsid w:val="009D18DE"/>
    <w:rsid w:val="00A63556"/>
    <w:rsid w:val="00A91E57"/>
    <w:rsid w:val="00B01140"/>
    <w:rsid w:val="00B11806"/>
    <w:rsid w:val="00B34ED7"/>
    <w:rsid w:val="00B73AA3"/>
    <w:rsid w:val="00B81703"/>
    <w:rsid w:val="00B96F9C"/>
    <w:rsid w:val="00BB4AED"/>
    <w:rsid w:val="00C01F53"/>
    <w:rsid w:val="00C2009C"/>
    <w:rsid w:val="00C430C1"/>
    <w:rsid w:val="00C90274"/>
    <w:rsid w:val="00CC219D"/>
    <w:rsid w:val="00D00BAF"/>
    <w:rsid w:val="00D078F4"/>
    <w:rsid w:val="00D307B5"/>
    <w:rsid w:val="00D614FC"/>
    <w:rsid w:val="00D74336"/>
    <w:rsid w:val="00D825BB"/>
    <w:rsid w:val="00DE4AD4"/>
    <w:rsid w:val="00E4208A"/>
    <w:rsid w:val="00E85309"/>
    <w:rsid w:val="00EB4C43"/>
    <w:rsid w:val="00EC6B85"/>
    <w:rsid w:val="00EE32DD"/>
    <w:rsid w:val="00EE455D"/>
    <w:rsid w:val="00F041A4"/>
    <w:rsid w:val="00F06098"/>
    <w:rsid w:val="00F334C3"/>
    <w:rsid w:val="00F339BB"/>
    <w:rsid w:val="00F705B3"/>
    <w:rsid w:val="00F92C72"/>
    <w:rsid w:val="00FC1AB1"/>
    <w:rsid w:val="00FC43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3DE8"/>
  <w15:chartTrackingRefBased/>
  <w15:docId w15:val="{79CDB6F5-7E6C-44D2-B284-397BB108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07013"/>
    <w:pPr>
      <w:keepNext/>
      <w:tabs>
        <w:tab w:val="left" w:pos="3884"/>
      </w:tabs>
      <w:overflowPunct w:val="0"/>
      <w:autoSpaceDE w:val="0"/>
      <w:autoSpaceDN w:val="0"/>
      <w:adjustRightInd w:val="0"/>
      <w:spacing w:after="0" w:line="240" w:lineRule="auto"/>
      <w:ind w:right="28"/>
      <w:textAlignment w:val="baseline"/>
      <w:outlineLvl w:val="0"/>
    </w:pPr>
    <w:rPr>
      <w:rFonts w:ascii="Calisto MT" w:eastAsia="Times New Roman" w:hAnsi="Calisto MT" w:cs="Lucida Sans Unicode"/>
      <w:i/>
      <w:iCs/>
      <w:noProof/>
      <w:sz w:val="18"/>
      <w:szCs w:val="20"/>
      <w:lang w:val="nl-BE" w:eastAsia="nl-NL"/>
    </w:rPr>
  </w:style>
  <w:style w:type="paragraph" w:styleId="Heading2">
    <w:name w:val="heading 2"/>
    <w:basedOn w:val="Normal"/>
    <w:next w:val="Normal"/>
    <w:link w:val="Heading2Char"/>
    <w:uiPriority w:val="99"/>
    <w:qFormat/>
    <w:rsid w:val="00907013"/>
    <w:pPr>
      <w:keepNext/>
      <w:tabs>
        <w:tab w:val="left" w:pos="4678"/>
      </w:tabs>
      <w:overflowPunct w:val="0"/>
      <w:autoSpaceDE w:val="0"/>
      <w:autoSpaceDN w:val="0"/>
      <w:adjustRightInd w:val="0"/>
      <w:spacing w:after="0" w:line="240" w:lineRule="auto"/>
      <w:jc w:val="both"/>
      <w:textAlignment w:val="baseline"/>
      <w:outlineLvl w:val="1"/>
    </w:pPr>
    <w:rPr>
      <w:rFonts w:ascii="Univers" w:eastAsia="Times New Roman" w:hAnsi="Univers" w:cs="Times New Roman"/>
      <w:noProof/>
      <w:sz w:val="24"/>
      <w:szCs w:val="20"/>
      <w:lang w:val="nl-BE" w:eastAsia="nl-NL"/>
    </w:rPr>
  </w:style>
  <w:style w:type="paragraph" w:styleId="Heading3">
    <w:name w:val="heading 3"/>
    <w:basedOn w:val="Normal"/>
    <w:next w:val="Normal"/>
    <w:link w:val="Heading3Char"/>
    <w:uiPriority w:val="99"/>
    <w:qFormat/>
    <w:rsid w:val="00907013"/>
    <w:pPr>
      <w:keepNext/>
      <w:overflowPunct w:val="0"/>
      <w:autoSpaceDE w:val="0"/>
      <w:autoSpaceDN w:val="0"/>
      <w:adjustRightInd w:val="0"/>
      <w:spacing w:after="0" w:line="240" w:lineRule="auto"/>
      <w:ind w:right="28"/>
      <w:textAlignment w:val="baseline"/>
      <w:outlineLvl w:val="2"/>
    </w:pPr>
    <w:rPr>
      <w:rFonts w:ascii="Univers" w:eastAsia="Times New Roman" w:hAnsi="Univers" w:cs="Lucida Sans Unicode"/>
      <w:b/>
      <w:bCs/>
      <w:noProof/>
      <w:szCs w:val="20"/>
      <w:lang w:val="nl-BE" w:eastAsia="nl-NL"/>
    </w:rPr>
  </w:style>
  <w:style w:type="paragraph" w:styleId="Heading4">
    <w:name w:val="heading 4"/>
    <w:basedOn w:val="Normal"/>
    <w:next w:val="Normal"/>
    <w:link w:val="Heading4Char"/>
    <w:uiPriority w:val="99"/>
    <w:qFormat/>
    <w:rsid w:val="00907013"/>
    <w:pPr>
      <w:keepNext/>
      <w:overflowPunct w:val="0"/>
      <w:autoSpaceDE w:val="0"/>
      <w:autoSpaceDN w:val="0"/>
      <w:adjustRightInd w:val="0"/>
      <w:spacing w:after="0" w:line="240" w:lineRule="auto"/>
      <w:ind w:right="28"/>
      <w:textAlignment w:val="baseline"/>
      <w:outlineLvl w:val="3"/>
    </w:pPr>
    <w:rPr>
      <w:rFonts w:ascii="Univers" w:eastAsia="Times New Roman" w:hAnsi="Univers" w:cs="Lucida Sans Unicode"/>
      <w:noProof/>
      <w:szCs w:val="20"/>
      <w:u w:val="single"/>
      <w:lang w:val="nl-BE" w:eastAsia="nl-NL"/>
    </w:rPr>
  </w:style>
  <w:style w:type="paragraph" w:styleId="Heading5">
    <w:name w:val="heading 5"/>
    <w:basedOn w:val="Normal"/>
    <w:next w:val="Normal"/>
    <w:link w:val="Heading5Char"/>
    <w:uiPriority w:val="99"/>
    <w:qFormat/>
    <w:rsid w:val="00907013"/>
    <w:pPr>
      <w:keepNext/>
      <w:overflowPunct w:val="0"/>
      <w:autoSpaceDE w:val="0"/>
      <w:autoSpaceDN w:val="0"/>
      <w:adjustRightInd w:val="0"/>
      <w:spacing w:after="0" w:line="240" w:lineRule="auto"/>
      <w:ind w:right="-540"/>
      <w:textAlignment w:val="baseline"/>
      <w:outlineLvl w:val="4"/>
    </w:pPr>
    <w:rPr>
      <w:rFonts w:ascii="Univers" w:eastAsia="Times New Roman" w:hAnsi="Univers" w:cs="Times New Roman"/>
      <w:i/>
      <w:noProof/>
      <w:color w:val="0E0059"/>
      <w:szCs w:val="20"/>
      <w:lang w:val="nl-BE" w:eastAsia="nl-NL"/>
    </w:rPr>
  </w:style>
  <w:style w:type="paragraph" w:styleId="Heading6">
    <w:name w:val="heading 6"/>
    <w:basedOn w:val="Normal"/>
    <w:next w:val="Normal"/>
    <w:link w:val="Heading6Char"/>
    <w:uiPriority w:val="99"/>
    <w:qFormat/>
    <w:rsid w:val="00907013"/>
    <w:pPr>
      <w:keepNext/>
      <w:overflowPunct w:val="0"/>
      <w:autoSpaceDE w:val="0"/>
      <w:autoSpaceDN w:val="0"/>
      <w:adjustRightInd w:val="0"/>
      <w:spacing w:after="0" w:line="240" w:lineRule="auto"/>
      <w:ind w:right="28"/>
      <w:textAlignment w:val="baseline"/>
      <w:outlineLvl w:val="5"/>
    </w:pPr>
    <w:rPr>
      <w:rFonts w:ascii="Myriad Pro" w:eastAsia="Times New Roman" w:hAnsi="Myriad Pro" w:cs="Times New Roman"/>
      <w:noProof/>
      <w:sz w:val="40"/>
      <w:szCs w:val="20"/>
      <w:lang w:val="nl-BE" w:eastAsia="nl-NL"/>
    </w:rPr>
  </w:style>
  <w:style w:type="paragraph" w:styleId="Heading7">
    <w:name w:val="heading 7"/>
    <w:basedOn w:val="Normal"/>
    <w:next w:val="Normal"/>
    <w:link w:val="Heading7Char"/>
    <w:uiPriority w:val="99"/>
    <w:unhideWhenUsed/>
    <w:qFormat/>
    <w:rsid w:val="00907013"/>
    <w:pPr>
      <w:keepNext/>
      <w:keepLines/>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noProof/>
      <w:color w:val="1F3763" w:themeColor="accent1" w:themeShade="7F"/>
      <w:sz w:val="20"/>
      <w:szCs w:val="20"/>
      <w:lang w:val="nl-BE" w:eastAsia="nl-NL"/>
    </w:rPr>
  </w:style>
  <w:style w:type="paragraph" w:styleId="Heading8">
    <w:name w:val="heading 8"/>
    <w:basedOn w:val="Normal"/>
    <w:next w:val="Normal"/>
    <w:link w:val="Heading8Char"/>
    <w:uiPriority w:val="99"/>
    <w:qFormat/>
    <w:rsid w:val="00907013"/>
    <w:pPr>
      <w:keepNext/>
      <w:tabs>
        <w:tab w:val="left" w:pos="-828"/>
        <w:tab w:val="left" w:pos="4253"/>
      </w:tabs>
      <w:suppressAutoHyphens/>
      <w:overflowPunct w:val="0"/>
      <w:autoSpaceDE w:val="0"/>
      <w:autoSpaceDN w:val="0"/>
      <w:adjustRightInd w:val="0"/>
      <w:spacing w:after="0" w:line="240" w:lineRule="auto"/>
      <w:jc w:val="both"/>
      <w:textAlignment w:val="baseline"/>
      <w:outlineLvl w:val="7"/>
    </w:pPr>
    <w:rPr>
      <w:rFonts w:ascii="Myriad Pro" w:eastAsia="Times New Roman" w:hAnsi="Myriad Pro" w:cs="Times New Roman"/>
      <w:b/>
      <w:bCs/>
      <w:i/>
      <w:iCs/>
      <w:spacing w:val="-3"/>
      <w:szCs w:val="20"/>
      <w:lang w:val="nl-BE" w:eastAsia="nl-NL"/>
    </w:rPr>
  </w:style>
  <w:style w:type="paragraph" w:styleId="Heading9">
    <w:name w:val="heading 9"/>
    <w:basedOn w:val="Normal"/>
    <w:next w:val="Normal"/>
    <w:link w:val="Heading9Char"/>
    <w:uiPriority w:val="99"/>
    <w:qFormat/>
    <w:rsid w:val="00907013"/>
    <w:pPr>
      <w:keepNext/>
      <w:overflowPunct w:val="0"/>
      <w:autoSpaceDE w:val="0"/>
      <w:autoSpaceDN w:val="0"/>
      <w:adjustRightInd w:val="0"/>
      <w:spacing w:after="0" w:line="240" w:lineRule="auto"/>
      <w:jc w:val="center"/>
      <w:textAlignment w:val="baseline"/>
      <w:outlineLvl w:val="8"/>
    </w:pPr>
    <w:rPr>
      <w:rFonts w:ascii="Myriad Pro" w:eastAsia="Times New Roman" w:hAnsi="Myriad Pro" w:cs="Times New Roman"/>
      <w:sz w:val="24"/>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51"/>
    <w:pPr>
      <w:ind w:left="720"/>
      <w:contextualSpacing/>
    </w:pPr>
  </w:style>
  <w:style w:type="character" w:customStyle="1" w:styleId="Heading1Char">
    <w:name w:val="Heading 1 Char"/>
    <w:basedOn w:val="DefaultParagraphFont"/>
    <w:link w:val="Heading1"/>
    <w:uiPriority w:val="99"/>
    <w:rsid w:val="00907013"/>
    <w:rPr>
      <w:rFonts w:ascii="Calisto MT" w:eastAsia="Times New Roman" w:hAnsi="Calisto MT" w:cs="Lucida Sans Unicode"/>
      <w:i/>
      <w:iCs/>
      <w:noProof/>
      <w:sz w:val="18"/>
      <w:szCs w:val="20"/>
      <w:lang w:val="nl-BE" w:eastAsia="nl-NL"/>
    </w:rPr>
  </w:style>
  <w:style w:type="character" w:customStyle="1" w:styleId="Heading2Char">
    <w:name w:val="Heading 2 Char"/>
    <w:basedOn w:val="DefaultParagraphFont"/>
    <w:link w:val="Heading2"/>
    <w:uiPriority w:val="99"/>
    <w:rsid w:val="00907013"/>
    <w:rPr>
      <w:rFonts w:ascii="Univers" w:eastAsia="Times New Roman" w:hAnsi="Univers" w:cs="Times New Roman"/>
      <w:noProof/>
      <w:sz w:val="24"/>
      <w:szCs w:val="20"/>
      <w:lang w:val="nl-BE" w:eastAsia="nl-NL"/>
    </w:rPr>
  </w:style>
  <w:style w:type="character" w:customStyle="1" w:styleId="Heading3Char">
    <w:name w:val="Heading 3 Char"/>
    <w:basedOn w:val="DefaultParagraphFont"/>
    <w:link w:val="Heading3"/>
    <w:uiPriority w:val="99"/>
    <w:rsid w:val="00907013"/>
    <w:rPr>
      <w:rFonts w:ascii="Univers" w:eastAsia="Times New Roman" w:hAnsi="Univers" w:cs="Lucida Sans Unicode"/>
      <w:b/>
      <w:bCs/>
      <w:noProof/>
      <w:szCs w:val="20"/>
      <w:lang w:val="nl-BE" w:eastAsia="nl-NL"/>
    </w:rPr>
  </w:style>
  <w:style w:type="character" w:customStyle="1" w:styleId="Heading4Char">
    <w:name w:val="Heading 4 Char"/>
    <w:basedOn w:val="DefaultParagraphFont"/>
    <w:link w:val="Heading4"/>
    <w:uiPriority w:val="99"/>
    <w:rsid w:val="00907013"/>
    <w:rPr>
      <w:rFonts w:ascii="Univers" w:eastAsia="Times New Roman" w:hAnsi="Univers" w:cs="Lucida Sans Unicode"/>
      <w:noProof/>
      <w:szCs w:val="20"/>
      <w:u w:val="single"/>
      <w:lang w:val="nl-BE" w:eastAsia="nl-NL"/>
    </w:rPr>
  </w:style>
  <w:style w:type="character" w:customStyle="1" w:styleId="Heading5Char">
    <w:name w:val="Heading 5 Char"/>
    <w:basedOn w:val="DefaultParagraphFont"/>
    <w:link w:val="Heading5"/>
    <w:uiPriority w:val="99"/>
    <w:rsid w:val="00907013"/>
    <w:rPr>
      <w:rFonts w:ascii="Univers" w:eastAsia="Times New Roman" w:hAnsi="Univers" w:cs="Times New Roman"/>
      <w:i/>
      <w:noProof/>
      <w:color w:val="0E0059"/>
      <w:szCs w:val="20"/>
      <w:lang w:val="nl-BE" w:eastAsia="nl-NL"/>
    </w:rPr>
  </w:style>
  <w:style w:type="character" w:customStyle="1" w:styleId="Heading6Char">
    <w:name w:val="Heading 6 Char"/>
    <w:basedOn w:val="DefaultParagraphFont"/>
    <w:link w:val="Heading6"/>
    <w:uiPriority w:val="99"/>
    <w:rsid w:val="00907013"/>
    <w:rPr>
      <w:rFonts w:ascii="Myriad Pro" w:eastAsia="Times New Roman" w:hAnsi="Myriad Pro" w:cs="Times New Roman"/>
      <w:noProof/>
      <w:sz w:val="40"/>
      <w:szCs w:val="20"/>
      <w:lang w:val="nl-BE" w:eastAsia="nl-NL"/>
    </w:rPr>
  </w:style>
  <w:style w:type="character" w:customStyle="1" w:styleId="Heading7Char">
    <w:name w:val="Heading 7 Char"/>
    <w:basedOn w:val="DefaultParagraphFont"/>
    <w:link w:val="Heading7"/>
    <w:uiPriority w:val="99"/>
    <w:rsid w:val="00907013"/>
    <w:rPr>
      <w:rFonts w:asciiTheme="majorHAnsi" w:eastAsiaTheme="majorEastAsia" w:hAnsiTheme="majorHAnsi" w:cstheme="majorBidi"/>
      <w:i/>
      <w:iCs/>
      <w:noProof/>
      <w:color w:val="1F3763" w:themeColor="accent1" w:themeShade="7F"/>
      <w:sz w:val="20"/>
      <w:szCs w:val="20"/>
      <w:lang w:val="nl-BE" w:eastAsia="nl-NL"/>
    </w:rPr>
  </w:style>
  <w:style w:type="character" w:customStyle="1" w:styleId="Heading8Char">
    <w:name w:val="Heading 8 Char"/>
    <w:basedOn w:val="DefaultParagraphFont"/>
    <w:link w:val="Heading8"/>
    <w:uiPriority w:val="99"/>
    <w:rsid w:val="00907013"/>
    <w:rPr>
      <w:rFonts w:ascii="Myriad Pro" w:eastAsia="Times New Roman" w:hAnsi="Myriad Pro" w:cs="Times New Roman"/>
      <w:b/>
      <w:bCs/>
      <w:i/>
      <w:iCs/>
      <w:spacing w:val="-3"/>
      <w:szCs w:val="20"/>
      <w:lang w:val="nl-BE" w:eastAsia="nl-NL"/>
    </w:rPr>
  </w:style>
  <w:style w:type="character" w:customStyle="1" w:styleId="Heading9Char">
    <w:name w:val="Heading 9 Char"/>
    <w:basedOn w:val="DefaultParagraphFont"/>
    <w:link w:val="Heading9"/>
    <w:uiPriority w:val="99"/>
    <w:rsid w:val="00907013"/>
    <w:rPr>
      <w:rFonts w:ascii="Myriad Pro" w:eastAsia="Times New Roman" w:hAnsi="Myriad Pro" w:cs="Times New Roman"/>
      <w:sz w:val="24"/>
      <w:szCs w:val="20"/>
      <w:lang w:val="nl-NL" w:eastAsia="nl-NL"/>
    </w:rPr>
  </w:style>
  <w:style w:type="paragraph" w:styleId="Header">
    <w:name w:val="header"/>
    <w:basedOn w:val="Normal"/>
    <w:link w:val="HeaderChar"/>
    <w:uiPriority w:val="99"/>
    <w:rsid w:val="0090701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HeaderChar">
    <w:name w:val="Header Char"/>
    <w:basedOn w:val="DefaultParagraphFont"/>
    <w:link w:val="Header"/>
    <w:uiPriority w:val="99"/>
    <w:rsid w:val="00907013"/>
    <w:rPr>
      <w:rFonts w:ascii="Times New Roman" w:eastAsia="Times New Roman" w:hAnsi="Times New Roman" w:cs="Times New Roman"/>
      <w:noProof/>
      <w:sz w:val="20"/>
      <w:szCs w:val="20"/>
      <w:lang w:val="nl-BE" w:eastAsia="nl-NL"/>
    </w:rPr>
  </w:style>
  <w:style w:type="paragraph" w:styleId="Footer">
    <w:name w:val="footer"/>
    <w:basedOn w:val="Normal"/>
    <w:link w:val="FooterChar"/>
    <w:uiPriority w:val="99"/>
    <w:rsid w:val="0090701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FooterChar">
    <w:name w:val="Footer Char"/>
    <w:basedOn w:val="DefaultParagraphFont"/>
    <w:link w:val="Footer"/>
    <w:uiPriority w:val="99"/>
    <w:rsid w:val="00907013"/>
    <w:rPr>
      <w:rFonts w:ascii="Times New Roman" w:eastAsia="Times New Roman" w:hAnsi="Times New Roman" w:cs="Times New Roman"/>
      <w:noProof/>
      <w:sz w:val="20"/>
      <w:szCs w:val="20"/>
      <w:lang w:val="nl-BE" w:eastAsia="nl-NL"/>
    </w:rPr>
  </w:style>
  <w:style w:type="paragraph" w:styleId="BodyText">
    <w:name w:val="Body Text"/>
    <w:basedOn w:val="Normal"/>
    <w:link w:val="BodyTextChar"/>
    <w:uiPriority w:val="99"/>
    <w:rsid w:val="00907013"/>
    <w:pPr>
      <w:tabs>
        <w:tab w:val="left" w:pos="3884"/>
      </w:tabs>
      <w:overflowPunct w:val="0"/>
      <w:autoSpaceDE w:val="0"/>
      <w:autoSpaceDN w:val="0"/>
      <w:adjustRightInd w:val="0"/>
      <w:spacing w:after="0" w:line="240" w:lineRule="auto"/>
      <w:ind w:right="28"/>
      <w:jc w:val="both"/>
      <w:textAlignment w:val="baseline"/>
    </w:pPr>
    <w:rPr>
      <w:rFonts w:ascii="Times New Roman" w:eastAsia="Times New Roman" w:hAnsi="Times New Roman" w:cs="Times New Roman"/>
      <w:noProof/>
      <w:szCs w:val="20"/>
      <w:lang w:val="nl-BE" w:eastAsia="nl-NL"/>
    </w:rPr>
  </w:style>
  <w:style w:type="character" w:customStyle="1" w:styleId="BodyTextChar">
    <w:name w:val="Body Text Char"/>
    <w:basedOn w:val="DefaultParagraphFont"/>
    <w:link w:val="BodyText"/>
    <w:uiPriority w:val="99"/>
    <w:rsid w:val="00907013"/>
    <w:rPr>
      <w:rFonts w:ascii="Times New Roman" w:eastAsia="Times New Roman" w:hAnsi="Times New Roman" w:cs="Times New Roman"/>
      <w:noProof/>
      <w:szCs w:val="20"/>
      <w:lang w:val="nl-BE" w:eastAsia="nl-NL"/>
    </w:rPr>
  </w:style>
  <w:style w:type="character" w:styleId="Hyperlink">
    <w:name w:val="Hyperlink"/>
    <w:basedOn w:val="DefaultParagraphFont"/>
    <w:uiPriority w:val="99"/>
    <w:rsid w:val="00907013"/>
    <w:rPr>
      <w:color w:val="0000FF"/>
      <w:u w:val="single"/>
    </w:rPr>
  </w:style>
  <w:style w:type="paragraph" w:styleId="BodyText2">
    <w:name w:val="Body Text 2"/>
    <w:basedOn w:val="Normal"/>
    <w:link w:val="BodyText2Char"/>
    <w:uiPriority w:val="99"/>
    <w:rsid w:val="00907013"/>
    <w:pPr>
      <w:autoSpaceDE w:val="0"/>
      <w:autoSpaceDN w:val="0"/>
      <w:adjustRightInd w:val="0"/>
      <w:spacing w:after="0" w:line="240" w:lineRule="auto"/>
    </w:pPr>
    <w:rPr>
      <w:rFonts w:ascii="Myriad Pro" w:eastAsia="Times New Roman" w:hAnsi="Myriad Pro" w:cs="Arial"/>
      <w:noProof/>
      <w:color w:val="3E3F2C"/>
      <w:sz w:val="20"/>
      <w:szCs w:val="20"/>
      <w:lang w:val="nl-BE" w:eastAsia="nl-NL"/>
    </w:rPr>
  </w:style>
  <w:style w:type="character" w:customStyle="1" w:styleId="BodyText2Char">
    <w:name w:val="Body Text 2 Char"/>
    <w:basedOn w:val="DefaultParagraphFont"/>
    <w:link w:val="BodyText2"/>
    <w:uiPriority w:val="99"/>
    <w:rsid w:val="00907013"/>
    <w:rPr>
      <w:rFonts w:ascii="Myriad Pro" w:eastAsia="Times New Roman" w:hAnsi="Myriad Pro" w:cs="Arial"/>
      <w:noProof/>
      <w:color w:val="3E3F2C"/>
      <w:sz w:val="20"/>
      <w:szCs w:val="20"/>
      <w:lang w:val="nl-BE" w:eastAsia="nl-NL"/>
    </w:rPr>
  </w:style>
  <w:style w:type="paragraph" w:customStyle="1" w:styleId="Lijstalinea1">
    <w:name w:val="Lijstalinea1"/>
    <w:basedOn w:val="Normal"/>
    <w:rsid w:val="00907013"/>
    <w:pPr>
      <w:spacing w:after="200" w:line="276" w:lineRule="auto"/>
      <w:ind w:left="720"/>
      <w:contextualSpacing/>
    </w:pPr>
    <w:rPr>
      <w:rFonts w:ascii="Calibri" w:eastAsia="Times New Roman" w:hAnsi="Calibri" w:cs="Times New Roman"/>
      <w:noProof/>
      <w:lang w:val="nl-BE"/>
    </w:rPr>
  </w:style>
  <w:style w:type="paragraph" w:styleId="BalloonText">
    <w:name w:val="Balloon Text"/>
    <w:basedOn w:val="Normal"/>
    <w:link w:val="BalloonTextChar"/>
    <w:uiPriority w:val="99"/>
    <w:rsid w:val="00907013"/>
    <w:pPr>
      <w:overflowPunct w:val="0"/>
      <w:autoSpaceDE w:val="0"/>
      <w:autoSpaceDN w:val="0"/>
      <w:adjustRightInd w:val="0"/>
      <w:spacing w:after="0" w:line="240" w:lineRule="auto"/>
      <w:textAlignment w:val="baseline"/>
    </w:pPr>
    <w:rPr>
      <w:rFonts w:ascii="Tahoma" w:eastAsia="Times New Roman" w:hAnsi="Tahoma" w:cs="Tahoma"/>
      <w:noProof/>
      <w:sz w:val="16"/>
      <w:szCs w:val="16"/>
      <w:lang w:val="nl-BE" w:eastAsia="nl-NL"/>
    </w:rPr>
  </w:style>
  <w:style w:type="character" w:customStyle="1" w:styleId="BalloonTextChar">
    <w:name w:val="Balloon Text Char"/>
    <w:basedOn w:val="DefaultParagraphFont"/>
    <w:link w:val="BalloonText"/>
    <w:uiPriority w:val="99"/>
    <w:rsid w:val="00907013"/>
    <w:rPr>
      <w:rFonts w:ascii="Tahoma" w:eastAsia="Times New Roman" w:hAnsi="Tahoma" w:cs="Tahoma"/>
      <w:noProof/>
      <w:sz w:val="16"/>
      <w:szCs w:val="16"/>
      <w:lang w:val="nl-BE" w:eastAsia="nl-NL"/>
    </w:rPr>
  </w:style>
  <w:style w:type="table" w:styleId="TableGrid">
    <w:name w:val="Table Grid"/>
    <w:basedOn w:val="TableNormal"/>
    <w:rsid w:val="00907013"/>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Plain">
    <w:name w:val="FFW Plain"/>
    <w:basedOn w:val="Normal"/>
    <w:locked/>
    <w:rsid w:val="00907013"/>
    <w:pPr>
      <w:spacing w:after="0" w:line="260" w:lineRule="atLeast"/>
      <w:jc w:val="both"/>
    </w:pPr>
    <w:rPr>
      <w:rFonts w:ascii="Arial" w:eastAsia="Times New Roman" w:hAnsi="Arial" w:cs="Arial"/>
      <w:noProof/>
      <w:sz w:val="20"/>
      <w:szCs w:val="24"/>
      <w:lang w:val="en-GB" w:eastAsia="en-GB"/>
    </w:rPr>
  </w:style>
  <w:style w:type="character" w:customStyle="1" w:styleId="widget-contact-value">
    <w:name w:val="widget-contact-value"/>
    <w:basedOn w:val="DefaultParagraphFont"/>
    <w:rsid w:val="00907013"/>
  </w:style>
  <w:style w:type="paragraph" w:customStyle="1" w:styleId="Aanhef1">
    <w:name w:val="Aanhef1"/>
    <w:basedOn w:val="Normal"/>
    <w:next w:val="Normal"/>
    <w:link w:val="Tekensvooraanhef"/>
    <w:uiPriority w:val="1"/>
    <w:unhideWhenUsed/>
    <w:qFormat/>
    <w:rsid w:val="00907013"/>
    <w:pPr>
      <w:spacing w:before="720" w:line="288" w:lineRule="auto"/>
    </w:pPr>
    <w:rPr>
      <w:color w:val="595959" w:themeColor="text1" w:themeTint="A6"/>
      <w:kern w:val="20"/>
      <w:sz w:val="20"/>
      <w:szCs w:val="20"/>
      <w:lang w:val="nl-NL" w:eastAsia="nl-NL"/>
    </w:rPr>
  </w:style>
  <w:style w:type="character" w:customStyle="1" w:styleId="Tekensvooraanhef">
    <w:name w:val="Tekens voor aanhef"/>
    <w:basedOn w:val="DefaultParagraphFont"/>
    <w:link w:val="Aanhef1"/>
    <w:uiPriority w:val="1"/>
    <w:rsid w:val="00907013"/>
    <w:rPr>
      <w:color w:val="595959" w:themeColor="text1" w:themeTint="A6"/>
      <w:kern w:val="20"/>
      <w:sz w:val="20"/>
      <w:szCs w:val="20"/>
      <w:lang w:val="nl-NL" w:eastAsia="nl-NL"/>
    </w:rPr>
  </w:style>
  <w:style w:type="paragraph" w:customStyle="1" w:styleId="bijschrift">
    <w:name w:val="bijschrift"/>
    <w:basedOn w:val="Normal"/>
    <w:uiPriority w:val="99"/>
    <w:rsid w:val="00907013"/>
    <w:pPr>
      <w:overflowPunct w:val="0"/>
      <w:autoSpaceDE w:val="0"/>
      <w:autoSpaceDN w:val="0"/>
      <w:adjustRightInd w:val="0"/>
      <w:spacing w:after="0" w:line="240" w:lineRule="auto"/>
      <w:textAlignment w:val="baseline"/>
    </w:pPr>
    <w:rPr>
      <w:rFonts w:ascii="Courier" w:eastAsia="Times New Roman" w:hAnsi="Courier" w:cs="Times New Roman"/>
      <w:sz w:val="24"/>
      <w:szCs w:val="20"/>
      <w:lang w:val="nl-NL" w:eastAsia="nl-NL"/>
    </w:rPr>
  </w:style>
  <w:style w:type="paragraph" w:customStyle="1" w:styleId="xl24">
    <w:name w:val="xl24"/>
    <w:basedOn w:val="Normal"/>
    <w:uiPriority w:val="99"/>
    <w:rsid w:val="00907013"/>
    <w:pP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5">
    <w:name w:val="xl25"/>
    <w:basedOn w:val="Normal"/>
    <w:uiPriority w:val="99"/>
    <w:rsid w:val="00907013"/>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6">
    <w:name w:val="xl26"/>
    <w:basedOn w:val="Normal"/>
    <w:uiPriority w:val="99"/>
    <w:rsid w:val="00907013"/>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7">
    <w:name w:val="xl27"/>
    <w:basedOn w:val="Normal"/>
    <w:uiPriority w:val="99"/>
    <w:rsid w:val="00907013"/>
    <w:pP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8">
    <w:name w:val="xl28"/>
    <w:basedOn w:val="Normal"/>
    <w:uiPriority w:val="99"/>
    <w:rsid w:val="00907013"/>
    <w:pPr>
      <w:spacing w:before="100" w:beforeAutospacing="1" w:after="100" w:afterAutospacing="1" w:line="240" w:lineRule="auto"/>
      <w:jc w:val="center"/>
      <w:textAlignment w:val="center"/>
    </w:pPr>
    <w:rPr>
      <w:rFonts w:ascii="Univers" w:eastAsia="Arial Unicode MS" w:hAnsi="Univers" w:cs="Arial Unicode MS"/>
      <w:b/>
      <w:bCs/>
      <w:sz w:val="24"/>
      <w:szCs w:val="24"/>
      <w:lang w:val="nl-NL" w:eastAsia="nl-NL"/>
    </w:rPr>
  </w:style>
  <w:style w:type="paragraph" w:customStyle="1" w:styleId="xl29">
    <w:name w:val="xl29"/>
    <w:basedOn w:val="Normal"/>
    <w:uiPriority w:val="99"/>
    <w:rsid w:val="0090701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0">
    <w:name w:val="xl30"/>
    <w:basedOn w:val="Normal"/>
    <w:uiPriority w:val="99"/>
    <w:rsid w:val="00907013"/>
    <w:pPr>
      <w:pBdr>
        <w:bottom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1">
    <w:name w:val="xl31"/>
    <w:basedOn w:val="Normal"/>
    <w:uiPriority w:val="99"/>
    <w:rsid w:val="00907013"/>
    <w:pPr>
      <w:pBdr>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2">
    <w:name w:val="xl32"/>
    <w:basedOn w:val="Normal"/>
    <w:uiPriority w:val="99"/>
    <w:rsid w:val="00907013"/>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3">
    <w:name w:val="xl33"/>
    <w:basedOn w:val="Normal"/>
    <w:uiPriority w:val="99"/>
    <w:rsid w:val="0090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4">
    <w:name w:val="xl34"/>
    <w:basedOn w:val="Normal"/>
    <w:uiPriority w:val="99"/>
    <w:rsid w:val="0090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5">
    <w:name w:val="xl35"/>
    <w:basedOn w:val="Normal"/>
    <w:uiPriority w:val="99"/>
    <w:rsid w:val="0090701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6">
    <w:name w:val="xl36"/>
    <w:basedOn w:val="Normal"/>
    <w:uiPriority w:val="99"/>
    <w:rsid w:val="00907013"/>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7">
    <w:name w:val="xl37"/>
    <w:basedOn w:val="Normal"/>
    <w:uiPriority w:val="99"/>
    <w:rsid w:val="00907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8">
    <w:name w:val="xl38"/>
    <w:basedOn w:val="Normal"/>
    <w:uiPriority w:val="99"/>
    <w:rsid w:val="00907013"/>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39">
    <w:name w:val="xl39"/>
    <w:basedOn w:val="Normal"/>
    <w:uiPriority w:val="99"/>
    <w:rsid w:val="00907013"/>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0">
    <w:name w:val="xl40"/>
    <w:basedOn w:val="Normal"/>
    <w:uiPriority w:val="99"/>
    <w:rsid w:val="00907013"/>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1">
    <w:name w:val="xl41"/>
    <w:basedOn w:val="Normal"/>
    <w:uiPriority w:val="99"/>
    <w:rsid w:val="00907013"/>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2">
    <w:name w:val="xl42"/>
    <w:basedOn w:val="Normal"/>
    <w:uiPriority w:val="99"/>
    <w:rsid w:val="00907013"/>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3">
    <w:name w:val="xl43"/>
    <w:basedOn w:val="Normal"/>
    <w:uiPriority w:val="99"/>
    <w:rsid w:val="00907013"/>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4">
    <w:name w:val="xl44"/>
    <w:basedOn w:val="Normal"/>
    <w:uiPriority w:val="99"/>
    <w:rsid w:val="00907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5">
    <w:name w:val="xl45"/>
    <w:basedOn w:val="Normal"/>
    <w:uiPriority w:val="99"/>
    <w:rsid w:val="00907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6">
    <w:name w:val="xl46"/>
    <w:basedOn w:val="Normal"/>
    <w:uiPriority w:val="99"/>
    <w:rsid w:val="00907013"/>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7">
    <w:name w:val="xl47"/>
    <w:basedOn w:val="Normal"/>
    <w:uiPriority w:val="99"/>
    <w:rsid w:val="00907013"/>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8">
    <w:name w:val="xl48"/>
    <w:basedOn w:val="Normal"/>
    <w:uiPriority w:val="99"/>
    <w:rsid w:val="00907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9">
    <w:name w:val="xl49"/>
    <w:basedOn w:val="Normal"/>
    <w:uiPriority w:val="99"/>
    <w:rsid w:val="00907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0">
    <w:name w:val="xl50"/>
    <w:basedOn w:val="Normal"/>
    <w:uiPriority w:val="99"/>
    <w:rsid w:val="00907013"/>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1">
    <w:name w:val="xl51"/>
    <w:basedOn w:val="Normal"/>
    <w:uiPriority w:val="99"/>
    <w:rsid w:val="00907013"/>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2">
    <w:name w:val="xl52"/>
    <w:basedOn w:val="Normal"/>
    <w:uiPriority w:val="99"/>
    <w:rsid w:val="00907013"/>
    <w:pPr>
      <w:pBdr>
        <w:top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3">
    <w:name w:val="xl53"/>
    <w:basedOn w:val="Normal"/>
    <w:uiPriority w:val="99"/>
    <w:rsid w:val="00907013"/>
    <w:pPr>
      <w:pBdr>
        <w:top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54">
    <w:name w:val="xl54"/>
    <w:basedOn w:val="Normal"/>
    <w:uiPriority w:val="99"/>
    <w:rsid w:val="00907013"/>
    <w:pPr>
      <w:pBdr>
        <w:top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5">
    <w:name w:val="xl55"/>
    <w:basedOn w:val="Normal"/>
    <w:uiPriority w:val="99"/>
    <w:rsid w:val="00907013"/>
    <w:pPr>
      <w:pBdr>
        <w:bottom w:val="single" w:sz="4" w:space="0" w:color="auto"/>
      </w:pBd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6">
    <w:name w:val="xl56"/>
    <w:basedOn w:val="Normal"/>
    <w:uiPriority w:val="99"/>
    <w:rsid w:val="00907013"/>
    <w:pPr>
      <w:pBdr>
        <w:lef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7">
    <w:name w:val="xl57"/>
    <w:basedOn w:val="Normal"/>
    <w:uiPriority w:val="99"/>
    <w:rsid w:val="00907013"/>
    <w:pP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8">
    <w:name w:val="xl58"/>
    <w:basedOn w:val="Normal"/>
    <w:uiPriority w:val="99"/>
    <w:rsid w:val="00907013"/>
    <w:pPr>
      <w:spacing w:before="100" w:beforeAutospacing="1" w:after="100" w:afterAutospacing="1" w:line="240" w:lineRule="auto"/>
      <w:textAlignment w:val="center"/>
    </w:pPr>
    <w:rPr>
      <w:rFonts w:ascii="Univers" w:eastAsia="Arial Unicode MS" w:hAnsi="Univers" w:cs="Arial Unicode MS"/>
      <w:color w:val="000000"/>
      <w:sz w:val="18"/>
      <w:szCs w:val="18"/>
      <w:lang w:val="nl-NL" w:eastAsia="nl-NL"/>
    </w:rPr>
  </w:style>
  <w:style w:type="paragraph" w:customStyle="1" w:styleId="xl59">
    <w:name w:val="xl59"/>
    <w:basedOn w:val="Normal"/>
    <w:uiPriority w:val="99"/>
    <w:rsid w:val="00907013"/>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60">
    <w:name w:val="xl60"/>
    <w:basedOn w:val="Normal"/>
    <w:uiPriority w:val="99"/>
    <w:rsid w:val="00907013"/>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paragraph" w:customStyle="1" w:styleId="xl61">
    <w:name w:val="xl61"/>
    <w:basedOn w:val="Normal"/>
    <w:uiPriority w:val="99"/>
    <w:rsid w:val="00907013"/>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character" w:styleId="PageNumber">
    <w:name w:val="page number"/>
    <w:basedOn w:val="DefaultParagraphFont"/>
    <w:uiPriority w:val="99"/>
    <w:semiHidden/>
    <w:rsid w:val="00907013"/>
    <w:rPr>
      <w:rFonts w:cs="Times New Roman"/>
    </w:rPr>
  </w:style>
  <w:style w:type="paragraph" w:customStyle="1" w:styleId="xl22">
    <w:name w:val="xl22"/>
    <w:basedOn w:val="Normal"/>
    <w:uiPriority w:val="99"/>
    <w:rsid w:val="0090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23">
    <w:name w:val="xl23"/>
    <w:basedOn w:val="Normal"/>
    <w:uiPriority w:val="99"/>
    <w:rsid w:val="009070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styleId="NormalWeb">
    <w:name w:val="Normal (Web)"/>
    <w:basedOn w:val="Normal"/>
    <w:uiPriority w:val="99"/>
    <w:unhideWhenUsed/>
    <w:rsid w:val="0090701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907013"/>
    <w:rPr>
      <w:sz w:val="16"/>
      <w:szCs w:val="16"/>
    </w:rPr>
  </w:style>
  <w:style w:type="paragraph" w:styleId="CommentText">
    <w:name w:val="annotation text"/>
    <w:basedOn w:val="Normal"/>
    <w:link w:val="CommentTextChar"/>
    <w:uiPriority w:val="99"/>
    <w:semiHidden/>
    <w:unhideWhenUsed/>
    <w:rsid w:val="00907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CommentTextChar">
    <w:name w:val="Comment Text Char"/>
    <w:basedOn w:val="DefaultParagraphFont"/>
    <w:link w:val="CommentText"/>
    <w:uiPriority w:val="99"/>
    <w:semiHidden/>
    <w:rsid w:val="00907013"/>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907013"/>
    <w:rPr>
      <w:b/>
      <w:bCs/>
    </w:rPr>
  </w:style>
  <w:style w:type="character" w:customStyle="1" w:styleId="CommentSubjectChar">
    <w:name w:val="Comment Subject Char"/>
    <w:basedOn w:val="CommentTextChar"/>
    <w:link w:val="CommentSubject"/>
    <w:uiPriority w:val="99"/>
    <w:semiHidden/>
    <w:rsid w:val="00907013"/>
    <w:rPr>
      <w:rFonts w:ascii="Times New Roman" w:eastAsia="Times New Roman" w:hAnsi="Times New Roman" w:cs="Times New Roman"/>
      <w:b/>
      <w:bCs/>
      <w:sz w:val="20"/>
      <w:szCs w:val="20"/>
      <w:lang w:val="nl-NL" w:eastAsia="nl-NL"/>
    </w:rPr>
  </w:style>
  <w:style w:type="character" w:styleId="UnresolvedMention">
    <w:name w:val="Unresolved Mention"/>
    <w:basedOn w:val="DefaultParagraphFont"/>
    <w:uiPriority w:val="99"/>
    <w:semiHidden/>
    <w:unhideWhenUsed/>
    <w:rsid w:val="00907013"/>
    <w:rPr>
      <w:color w:val="605E5C"/>
      <w:shd w:val="clear" w:color="auto" w:fill="E1DFDD"/>
    </w:rPr>
  </w:style>
  <w:style w:type="character" w:styleId="FollowedHyperlink">
    <w:name w:val="FollowedHyperlink"/>
    <w:basedOn w:val="DefaultParagraphFont"/>
    <w:uiPriority w:val="99"/>
    <w:semiHidden/>
    <w:unhideWhenUsed/>
    <w:rsid w:val="00907013"/>
    <w:rPr>
      <w:color w:val="800080"/>
      <w:u w:val="single"/>
    </w:rPr>
  </w:style>
  <w:style w:type="paragraph" w:customStyle="1" w:styleId="msonormal0">
    <w:name w:val="msonormal"/>
    <w:basedOn w:val="Normal"/>
    <w:rsid w:val="0090701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7">
    <w:name w:val="xl67"/>
    <w:basedOn w:val="Normal"/>
    <w:rsid w:val="00907013"/>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8">
    <w:name w:val="xl68"/>
    <w:basedOn w:val="Normal"/>
    <w:rsid w:val="00907013"/>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9">
    <w:name w:val="xl69"/>
    <w:basedOn w:val="Normal"/>
    <w:rsid w:val="0090701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0">
    <w:name w:val="xl70"/>
    <w:basedOn w:val="Normal"/>
    <w:rsid w:val="00907013"/>
    <w:pPr>
      <w:pBdr>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1">
    <w:name w:val="xl71"/>
    <w:basedOn w:val="Normal"/>
    <w:rsid w:val="00907013"/>
    <w:pP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2">
    <w:name w:val="xl72"/>
    <w:basedOn w:val="Normal"/>
    <w:rsid w:val="00907013"/>
    <w:pPr>
      <w:pBdr>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3">
    <w:name w:val="xl73"/>
    <w:basedOn w:val="Normal"/>
    <w:rsid w:val="00907013"/>
    <w:pPr>
      <w:pBdr>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4">
    <w:name w:val="xl74"/>
    <w:basedOn w:val="Normal"/>
    <w:rsid w:val="00907013"/>
    <w:pPr>
      <w:pBdr>
        <w:top w:val="single" w:sz="4" w:space="0" w:color="FFFFFF"/>
        <w:left w:val="single" w:sz="4" w:space="0" w:color="auto"/>
        <w:bottom w:val="single" w:sz="4" w:space="0" w:color="auto"/>
      </w:pBdr>
      <w:shd w:val="clear" w:color="000000" w:fill="FFFFFF"/>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75">
    <w:name w:val="xl75"/>
    <w:basedOn w:val="Normal"/>
    <w:rsid w:val="00907013"/>
    <w:pPr>
      <w:pBdr>
        <w:top w:val="single" w:sz="4" w:space="0" w:color="FFFFFF"/>
        <w:left w:val="single" w:sz="4" w:space="0" w:color="auto"/>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6">
    <w:name w:val="xl76"/>
    <w:basedOn w:val="Normal"/>
    <w:rsid w:val="00907013"/>
    <w:pPr>
      <w:pBdr>
        <w:top w:val="single" w:sz="4" w:space="0" w:color="FFFFFF"/>
        <w:left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7">
    <w:name w:val="xl77"/>
    <w:basedOn w:val="Normal"/>
    <w:rsid w:val="00907013"/>
    <w:pPr>
      <w:pBdr>
        <w:left w:val="single" w:sz="4" w:space="0" w:color="FFFFFF"/>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8">
    <w:name w:val="xl78"/>
    <w:basedOn w:val="Normal"/>
    <w:rsid w:val="00907013"/>
    <w:pPr>
      <w:pBdr>
        <w:top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9">
    <w:name w:val="xl79"/>
    <w:basedOn w:val="Normal"/>
    <w:rsid w:val="00907013"/>
    <w:pPr>
      <w:pBdr>
        <w:top w:val="single" w:sz="4" w:space="0" w:color="FFFFFF"/>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80">
    <w:name w:val="xl80"/>
    <w:basedOn w:val="Normal"/>
    <w:rsid w:val="00907013"/>
    <w:pPr>
      <w:pBdr>
        <w:top w:val="single" w:sz="4" w:space="0" w:color="FFFFFF"/>
        <w:left w:val="single" w:sz="4" w:space="0" w:color="auto"/>
        <w:bottom w:val="single" w:sz="4" w:space="0" w:color="FFFFFF"/>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81">
    <w:name w:val="xl81"/>
    <w:basedOn w:val="Normal"/>
    <w:rsid w:val="00907013"/>
    <w:pPr>
      <w:pBdr>
        <w:left w:val="single" w:sz="4" w:space="0" w:color="auto"/>
        <w:bottom w:val="single" w:sz="4" w:space="0" w:color="FFFFFF"/>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82">
    <w:name w:val="xl82"/>
    <w:basedOn w:val="Normal"/>
    <w:rsid w:val="00907013"/>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3">
    <w:name w:val="xl83"/>
    <w:basedOn w:val="Normal"/>
    <w:rsid w:val="00907013"/>
    <w:pPr>
      <w:pBdr>
        <w:left w:val="single" w:sz="4" w:space="0" w:color="FFFFFF"/>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4">
    <w:name w:val="xl84"/>
    <w:basedOn w:val="Normal"/>
    <w:rsid w:val="00907013"/>
    <w:pPr>
      <w:pBdr>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5">
    <w:name w:val="xl85"/>
    <w:basedOn w:val="Normal"/>
    <w:rsid w:val="00907013"/>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6">
    <w:name w:val="xl86"/>
    <w:basedOn w:val="Normal"/>
    <w:rsid w:val="00907013"/>
    <w:pPr>
      <w:pBdr>
        <w:left w:val="single" w:sz="4" w:space="0" w:color="FFFFFF"/>
        <w:bottom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7">
    <w:name w:val="xl87"/>
    <w:basedOn w:val="Normal"/>
    <w:rsid w:val="00907013"/>
    <w:pPr>
      <w:pBdr>
        <w:left w:val="single" w:sz="4" w:space="0" w:color="auto"/>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8">
    <w:name w:val="xl88"/>
    <w:basedOn w:val="Normal"/>
    <w:rsid w:val="00907013"/>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89">
    <w:name w:val="xl89"/>
    <w:basedOn w:val="Normal"/>
    <w:rsid w:val="00907013"/>
    <w:pPr>
      <w:pBdr>
        <w:top w:val="single" w:sz="4" w:space="0" w:color="auto"/>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0">
    <w:name w:val="xl90"/>
    <w:basedOn w:val="Normal"/>
    <w:rsid w:val="00907013"/>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1">
    <w:name w:val="xl91"/>
    <w:basedOn w:val="Normal"/>
    <w:rsid w:val="00907013"/>
    <w:pPr>
      <w:pBdr>
        <w:top w:val="single" w:sz="4" w:space="0" w:color="auto"/>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2">
    <w:name w:val="xl92"/>
    <w:basedOn w:val="Normal"/>
    <w:rsid w:val="00907013"/>
    <w:pPr>
      <w:pBdr>
        <w:top w:val="single" w:sz="4" w:space="0" w:color="auto"/>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3">
    <w:name w:val="xl93"/>
    <w:basedOn w:val="Normal"/>
    <w:rsid w:val="00907013"/>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4">
    <w:name w:val="xl94"/>
    <w:basedOn w:val="Normal"/>
    <w:rsid w:val="00907013"/>
    <w:pPr>
      <w:pBdr>
        <w:top w:val="single" w:sz="4" w:space="0" w:color="auto"/>
        <w:left w:val="single" w:sz="4" w:space="0" w:color="FFFFFF"/>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5">
    <w:name w:val="xl95"/>
    <w:basedOn w:val="Normal"/>
    <w:rsid w:val="0090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6">
    <w:name w:val="xl96"/>
    <w:basedOn w:val="Normal"/>
    <w:rsid w:val="00907013"/>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7">
    <w:name w:val="xl97"/>
    <w:basedOn w:val="Normal"/>
    <w:rsid w:val="00907013"/>
    <w:pPr>
      <w:pBdr>
        <w:top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8">
    <w:name w:val="xl98"/>
    <w:basedOn w:val="Normal"/>
    <w:rsid w:val="00907013"/>
    <w:pPr>
      <w:pBdr>
        <w:top w:val="single" w:sz="4" w:space="0" w:color="auto"/>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9">
    <w:name w:val="xl99"/>
    <w:basedOn w:val="Normal"/>
    <w:rsid w:val="00907013"/>
    <w:pPr>
      <w:pBdr>
        <w:top w:val="single" w:sz="4" w:space="0" w:color="FFFFFF"/>
        <w:lef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0">
    <w:name w:val="xl100"/>
    <w:basedOn w:val="Normal"/>
    <w:rsid w:val="00907013"/>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1">
    <w:name w:val="xl101"/>
    <w:basedOn w:val="Normal"/>
    <w:rsid w:val="00907013"/>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2">
    <w:name w:val="xl102"/>
    <w:basedOn w:val="Normal"/>
    <w:rsid w:val="00907013"/>
    <w:pPr>
      <w:pBdr>
        <w:lef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3">
    <w:name w:val="xl103"/>
    <w:basedOn w:val="Normal"/>
    <w:rsid w:val="00907013"/>
    <w:pPr>
      <w:pBdr>
        <w:left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4">
    <w:name w:val="xl104"/>
    <w:basedOn w:val="Normal"/>
    <w:rsid w:val="00907013"/>
    <w:pPr>
      <w:pBdr>
        <w:top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5">
    <w:name w:val="xl105"/>
    <w:basedOn w:val="Normal"/>
    <w:rsid w:val="00907013"/>
    <w:pPr>
      <w:pBdr>
        <w:left w:val="single" w:sz="4" w:space="0" w:color="auto"/>
        <w:bottom w:val="single" w:sz="4" w:space="0" w:color="auto"/>
        <w:righ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6">
    <w:name w:val="xl106"/>
    <w:basedOn w:val="Normal"/>
    <w:rsid w:val="00907013"/>
    <w:pPr>
      <w:pBdr>
        <w:top w:val="single" w:sz="4" w:space="0" w:color="FFFFFF"/>
        <w:left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07">
    <w:name w:val="xl107"/>
    <w:basedOn w:val="Normal"/>
    <w:rsid w:val="00907013"/>
    <w:pPr>
      <w:pBdr>
        <w:top w:val="single" w:sz="4" w:space="0" w:color="FFFFFF"/>
        <w:left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8">
    <w:name w:val="xl108"/>
    <w:basedOn w:val="Normal"/>
    <w:rsid w:val="00907013"/>
    <w:pPr>
      <w:pBdr>
        <w:top w:val="single" w:sz="4" w:space="0" w:color="FFFFFF"/>
        <w:left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9">
    <w:name w:val="xl109"/>
    <w:basedOn w:val="Normal"/>
    <w:rsid w:val="00907013"/>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110">
    <w:name w:val="xl110"/>
    <w:basedOn w:val="Normal"/>
    <w:rsid w:val="00907013"/>
    <w:pPr>
      <w:pBdr>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11">
    <w:name w:val="xl111"/>
    <w:basedOn w:val="Normal"/>
    <w:rsid w:val="00907013"/>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2">
    <w:name w:val="xl112"/>
    <w:basedOn w:val="Normal"/>
    <w:rsid w:val="00907013"/>
    <w:pPr>
      <w:pBdr>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3">
    <w:name w:val="xl113"/>
    <w:basedOn w:val="Normal"/>
    <w:rsid w:val="00907013"/>
    <w:pPr>
      <w:pBdr>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4">
    <w:name w:val="xl114"/>
    <w:basedOn w:val="Normal"/>
    <w:rsid w:val="00907013"/>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5">
    <w:name w:val="xl115"/>
    <w:basedOn w:val="Normal"/>
    <w:rsid w:val="00907013"/>
    <w:pPr>
      <w:pBdr>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6">
    <w:name w:val="xl116"/>
    <w:basedOn w:val="Normal"/>
    <w:rsid w:val="00907013"/>
    <w:pP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7">
    <w:name w:val="xl117"/>
    <w:basedOn w:val="Normal"/>
    <w:rsid w:val="00907013"/>
    <w:pPr>
      <w:pBdr>
        <w:top w:val="single" w:sz="4" w:space="0" w:color="auto"/>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8">
    <w:name w:val="xl118"/>
    <w:basedOn w:val="Normal"/>
    <w:rsid w:val="00907013"/>
    <w:pPr>
      <w:pBdr>
        <w:top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9">
    <w:name w:val="xl119"/>
    <w:basedOn w:val="Normal"/>
    <w:rsid w:val="00907013"/>
    <w:pPr>
      <w:pBdr>
        <w:top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20">
    <w:name w:val="xl120"/>
    <w:basedOn w:val="Normal"/>
    <w:rsid w:val="009070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1">
    <w:name w:val="xl121"/>
    <w:basedOn w:val="Normal"/>
    <w:rsid w:val="00907013"/>
    <w:pPr>
      <w:pBdr>
        <w:top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2">
    <w:name w:val="xl122"/>
    <w:basedOn w:val="Normal"/>
    <w:rsid w:val="009070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65">
    <w:name w:val="xl65"/>
    <w:basedOn w:val="Normal"/>
    <w:rsid w:val="00907013"/>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6">
    <w:name w:val="xl66"/>
    <w:basedOn w:val="Normal"/>
    <w:rsid w:val="00907013"/>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styleId="Revision">
    <w:name w:val="Revision"/>
    <w:hidden/>
    <w:uiPriority w:val="99"/>
    <w:semiHidden/>
    <w:rsid w:val="00907013"/>
    <w:pPr>
      <w:spacing w:after="0" w:line="240" w:lineRule="auto"/>
    </w:pPr>
    <w:rPr>
      <w:rFonts w:ascii="Times New Roman" w:eastAsia="Times New Roman" w:hAnsi="Times New Roman" w:cs="Times New Roman"/>
      <w:noProof/>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0217">
      <w:bodyDiv w:val="1"/>
      <w:marLeft w:val="0"/>
      <w:marRight w:val="0"/>
      <w:marTop w:val="0"/>
      <w:marBottom w:val="0"/>
      <w:divBdr>
        <w:top w:val="none" w:sz="0" w:space="0" w:color="auto"/>
        <w:left w:val="none" w:sz="0" w:space="0" w:color="auto"/>
        <w:bottom w:val="none" w:sz="0" w:space="0" w:color="auto"/>
        <w:right w:val="none" w:sz="0" w:space="0" w:color="auto"/>
      </w:divBdr>
    </w:div>
    <w:div w:id="863708660">
      <w:bodyDiv w:val="1"/>
      <w:marLeft w:val="0"/>
      <w:marRight w:val="0"/>
      <w:marTop w:val="0"/>
      <w:marBottom w:val="0"/>
      <w:divBdr>
        <w:top w:val="none" w:sz="0" w:space="0" w:color="auto"/>
        <w:left w:val="none" w:sz="0" w:space="0" w:color="auto"/>
        <w:bottom w:val="none" w:sz="0" w:space="0" w:color="auto"/>
        <w:right w:val="none" w:sz="0" w:space="0" w:color="auto"/>
      </w:divBdr>
    </w:div>
    <w:div w:id="1676957119">
      <w:bodyDiv w:val="1"/>
      <w:marLeft w:val="0"/>
      <w:marRight w:val="0"/>
      <w:marTop w:val="0"/>
      <w:marBottom w:val="0"/>
      <w:divBdr>
        <w:top w:val="none" w:sz="0" w:space="0" w:color="auto"/>
        <w:left w:val="none" w:sz="0" w:space="0" w:color="auto"/>
        <w:bottom w:val="none" w:sz="0" w:space="0" w:color="auto"/>
        <w:right w:val="none" w:sz="0" w:space="0" w:color="auto"/>
      </w:divBdr>
    </w:div>
    <w:div w:id="16840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FilipD\AppData\Local\Microsoft\Windows\INetCache\Content.Outlook\QGRGCV4L\Grafiek%20meubelhandel8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45482875652056E-2"/>
          <c:y val="9.8173009229295963E-2"/>
          <c:w val="0.92939878491376426"/>
          <c:h val="0.7224937967526025"/>
        </c:manualLayout>
      </c:layout>
      <c:barChart>
        <c:barDir val="col"/>
        <c:grouping val="clustered"/>
        <c:varyColors val="0"/>
        <c:ser>
          <c:idx val="1"/>
          <c:order val="0"/>
          <c:tx>
            <c:strRef>
              <c:f>Feuil1!$A$3</c:f>
              <c:strCache>
                <c:ptCount val="1"/>
                <c:pt idx="0">
                  <c:v>Meubelindustrie</c:v>
                </c:pt>
              </c:strCache>
            </c:strRef>
          </c:tx>
          <c:spPr>
            <a:solidFill>
              <a:srgbClr val="FFC000"/>
            </a:solidFill>
            <a:ln>
              <a:noFill/>
            </a:ln>
            <a:effectLst/>
          </c:spPr>
          <c:invertIfNegative val="0"/>
          <c:dLbls>
            <c:dLbl>
              <c:idx val="8"/>
              <c:layout>
                <c:manualLayout>
                  <c:x val="-8.3745982607144334E-17"/>
                  <c:y val="3.114304471106205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2">
                          <a:lumMod val="50000"/>
                        </a:schemeClr>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15:layout>
                    <c:manualLayout>
                      <c:w val="2.8470156336732159E-2"/>
                      <c:h val="0.11463563474938876"/>
                    </c:manualLayout>
                  </c15:layout>
                </c:ext>
                <c:ext xmlns:c16="http://schemas.microsoft.com/office/drawing/2014/chart" uri="{C3380CC4-5D6E-409C-BE32-E72D297353CC}">
                  <c16:uniqueId val="{00000000-96F0-43A3-A8AB-F72370EFE63E}"/>
                </c:ext>
              </c:extLst>
            </c:dLbl>
            <c:dLbl>
              <c:idx val="13"/>
              <c:layout>
                <c:manualLayout>
                  <c:x val="-3.54282131878315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F0-43A3-A8AB-F72370EFE63E}"/>
                </c:ext>
              </c:extLst>
            </c:dLbl>
            <c:dLbl>
              <c:idx val="15"/>
              <c:layout>
                <c:manualLayout>
                  <c:x val="2.2840077285785926E-3"/>
                  <c:y val="-8.0081581159264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F0-43A3-A8AB-F72370EFE63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Feuil1!$B$1:$T$1</c:f>
              <c:strCache>
                <c:ptCount val="19"/>
                <c:pt idx="0">
                  <c:v>2005 </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6 m 2023</c:v>
                </c:pt>
              </c:strCache>
            </c:strRef>
          </c:cat>
          <c:val>
            <c:numRef>
              <c:f>Feuil1!$B$3:$T$3</c:f>
              <c:numCache>
                <c:formatCode>0.0\ </c:formatCode>
                <c:ptCount val="19"/>
                <c:pt idx="0" formatCode="0.0_)">
                  <c:v>2.2999999999999998</c:v>
                </c:pt>
                <c:pt idx="1">
                  <c:v>0.2</c:v>
                </c:pt>
                <c:pt idx="2">
                  <c:v>3.8</c:v>
                </c:pt>
                <c:pt idx="3">
                  <c:v>-4.8</c:v>
                </c:pt>
                <c:pt idx="4">
                  <c:v>-13</c:v>
                </c:pt>
                <c:pt idx="5">
                  <c:v>0.5</c:v>
                </c:pt>
                <c:pt idx="6">
                  <c:v>4.7</c:v>
                </c:pt>
                <c:pt idx="7" formatCode="0.0">
                  <c:v>4.5999999999999996</c:v>
                </c:pt>
                <c:pt idx="8" formatCode="0.0">
                  <c:v>-4.4000000000000004</c:v>
                </c:pt>
                <c:pt idx="9" formatCode="0.0">
                  <c:v>-2.9</c:v>
                </c:pt>
                <c:pt idx="10" formatCode="0.0">
                  <c:v>-1.3</c:v>
                </c:pt>
                <c:pt idx="11" formatCode="#,##0.0_);\(#,##0.0\)">
                  <c:v>2.1</c:v>
                </c:pt>
                <c:pt idx="12" formatCode="#,##0.0">
                  <c:v>-7.3</c:v>
                </c:pt>
                <c:pt idx="13" formatCode="#,##0.0">
                  <c:v>-1.4</c:v>
                </c:pt>
                <c:pt idx="14" formatCode="General">
                  <c:v>0.3</c:v>
                </c:pt>
                <c:pt idx="15" formatCode="General">
                  <c:v>-1.2</c:v>
                </c:pt>
                <c:pt idx="16" formatCode="General">
                  <c:v>9.9</c:v>
                </c:pt>
                <c:pt idx="17" formatCode="General">
                  <c:v>-0.4</c:v>
                </c:pt>
                <c:pt idx="18" formatCode="General">
                  <c:v>-5.6</c:v>
                </c:pt>
              </c:numCache>
            </c:numRef>
          </c:val>
          <c:extLst>
            <c:ext xmlns:c16="http://schemas.microsoft.com/office/drawing/2014/chart" uri="{C3380CC4-5D6E-409C-BE32-E72D297353CC}">
              <c16:uniqueId val="{00000003-96F0-43A3-A8AB-F72370EFE63E}"/>
            </c:ext>
          </c:extLst>
        </c:ser>
        <c:dLbls>
          <c:showLegendKey val="0"/>
          <c:showVal val="0"/>
          <c:showCatName val="0"/>
          <c:showSerName val="0"/>
          <c:showPercent val="0"/>
          <c:showBubbleSize val="0"/>
        </c:dLbls>
        <c:gapWidth val="80"/>
        <c:axId val="716666104"/>
        <c:axId val="716665120"/>
      </c:barChart>
      <c:catAx>
        <c:axId val="7166661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16665120"/>
        <c:crosses val="autoZero"/>
        <c:auto val="1"/>
        <c:lblAlgn val="ctr"/>
        <c:lblOffset val="100"/>
        <c:noMultiLvlLbl val="0"/>
      </c:catAx>
      <c:valAx>
        <c:axId val="716665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6666104"/>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prstDash val="solid"/>
            </a:ln>
          </c:spPr>
          <c:marker>
            <c:symbol val="circle"/>
            <c:size val="2"/>
          </c:marker>
          <c:dLbls>
            <c:numFmt formatCode="#,##0.0" sourceLinked="0"/>
            <c:spPr>
              <a:noFill/>
              <a:ln>
                <a:noFill/>
              </a:ln>
              <a:effectLst/>
            </c:spPr>
            <c:txPr>
              <a:bodyPr wrap="square" lIns="38100" tIns="19050" rIns="38100" bIns="19050" anchor="ctr">
                <a:spAutoFit/>
              </a:bodyPr>
              <a:lstStyle/>
              <a:p>
                <a:pPr>
                  <a:defRPr sz="800" b="1"/>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PRODKAP!$A$58:$A$89</c:f>
              <c:strCache>
                <c:ptCount val="32"/>
                <c:pt idx="0">
                  <c:v>III/15</c:v>
                </c:pt>
                <c:pt idx="1">
                  <c:v>IV/15</c:v>
                </c:pt>
                <c:pt idx="2">
                  <c:v>I/16</c:v>
                </c:pt>
                <c:pt idx="3">
                  <c:v>II/16</c:v>
                </c:pt>
                <c:pt idx="4">
                  <c:v>III/16</c:v>
                </c:pt>
                <c:pt idx="5">
                  <c:v>IV/16</c:v>
                </c:pt>
                <c:pt idx="6">
                  <c:v>I/17</c:v>
                </c:pt>
                <c:pt idx="7">
                  <c:v>II/17</c:v>
                </c:pt>
                <c:pt idx="8">
                  <c:v>III/17</c:v>
                </c:pt>
                <c:pt idx="9">
                  <c:v>IV/17</c:v>
                </c:pt>
                <c:pt idx="10">
                  <c:v>I/18</c:v>
                </c:pt>
                <c:pt idx="11">
                  <c:v>II/18</c:v>
                </c:pt>
                <c:pt idx="12">
                  <c:v>III/18</c:v>
                </c:pt>
                <c:pt idx="13">
                  <c:v>IV/18</c:v>
                </c:pt>
                <c:pt idx="14">
                  <c:v>I/19</c:v>
                </c:pt>
                <c:pt idx="15">
                  <c:v>II/19</c:v>
                </c:pt>
                <c:pt idx="16">
                  <c:v>III/19</c:v>
                </c:pt>
                <c:pt idx="17">
                  <c:v>IV/19</c:v>
                </c:pt>
                <c:pt idx="18">
                  <c:v>I/20</c:v>
                </c:pt>
                <c:pt idx="19">
                  <c:v>II/20</c:v>
                </c:pt>
                <c:pt idx="20">
                  <c:v>III/20</c:v>
                </c:pt>
                <c:pt idx="21">
                  <c:v>IV/20</c:v>
                </c:pt>
                <c:pt idx="22">
                  <c:v>I/21</c:v>
                </c:pt>
                <c:pt idx="23">
                  <c:v>II/21</c:v>
                </c:pt>
                <c:pt idx="24">
                  <c:v>III/21</c:v>
                </c:pt>
                <c:pt idx="25">
                  <c:v>IV/21</c:v>
                </c:pt>
                <c:pt idx="26">
                  <c:v>I/22</c:v>
                </c:pt>
                <c:pt idx="27">
                  <c:v>II/22</c:v>
                </c:pt>
                <c:pt idx="28">
                  <c:v>III/22</c:v>
                </c:pt>
                <c:pt idx="29">
                  <c:v>IV/22</c:v>
                </c:pt>
                <c:pt idx="30">
                  <c:v>I/23</c:v>
                </c:pt>
                <c:pt idx="31">
                  <c:v>II/23</c:v>
                </c:pt>
              </c:strCache>
            </c:strRef>
          </c:cat>
          <c:val>
            <c:numRef>
              <c:f>PRODKAP!$B$58:$B$89</c:f>
              <c:numCache>
                <c:formatCode>0.0</c:formatCode>
                <c:ptCount val="32"/>
                <c:pt idx="0">
                  <c:v>82.5</c:v>
                </c:pt>
                <c:pt idx="1">
                  <c:v>82.88</c:v>
                </c:pt>
                <c:pt idx="2">
                  <c:v>81.2</c:v>
                </c:pt>
                <c:pt idx="3">
                  <c:v>80.099999999999994</c:v>
                </c:pt>
                <c:pt idx="4">
                  <c:v>80.8</c:v>
                </c:pt>
                <c:pt idx="5">
                  <c:v>80.3</c:v>
                </c:pt>
                <c:pt idx="6" formatCode="0.00">
                  <c:v>82.5</c:v>
                </c:pt>
                <c:pt idx="7" formatCode="0.00">
                  <c:v>80.3</c:v>
                </c:pt>
                <c:pt idx="8" formatCode="0.00">
                  <c:v>79</c:v>
                </c:pt>
                <c:pt idx="9" formatCode="0.00">
                  <c:v>75</c:v>
                </c:pt>
                <c:pt idx="10" formatCode="0.00">
                  <c:v>80.900000000000006</c:v>
                </c:pt>
                <c:pt idx="11" formatCode="0.00">
                  <c:v>79.900000000000006</c:v>
                </c:pt>
                <c:pt idx="12" formatCode="0.00">
                  <c:v>82</c:v>
                </c:pt>
                <c:pt idx="13" formatCode="0.00">
                  <c:v>81.5</c:v>
                </c:pt>
                <c:pt idx="14" formatCode="0.00">
                  <c:v>79</c:v>
                </c:pt>
                <c:pt idx="15" formatCode="0.00">
                  <c:v>80.7</c:v>
                </c:pt>
                <c:pt idx="16" formatCode="0.00">
                  <c:v>81.5</c:v>
                </c:pt>
                <c:pt idx="17" formatCode="0.00">
                  <c:v>83.2</c:v>
                </c:pt>
                <c:pt idx="18" formatCode="0.00">
                  <c:v>82</c:v>
                </c:pt>
                <c:pt idx="19" formatCode="0.00">
                  <c:v>84</c:v>
                </c:pt>
                <c:pt idx="20" formatCode="0.00">
                  <c:v>86</c:v>
                </c:pt>
                <c:pt idx="21" formatCode="0.00">
                  <c:v>83.3</c:v>
                </c:pt>
                <c:pt idx="22" formatCode="0.00">
                  <c:v>86.5</c:v>
                </c:pt>
                <c:pt idx="23" formatCode="0.00">
                  <c:v>87.5</c:v>
                </c:pt>
                <c:pt idx="24" formatCode="0.00">
                  <c:v>85.9</c:v>
                </c:pt>
                <c:pt idx="25" formatCode="0.00">
                  <c:v>86.2</c:v>
                </c:pt>
                <c:pt idx="26" formatCode="0.00">
                  <c:v>83.4</c:v>
                </c:pt>
                <c:pt idx="27" formatCode="0.00">
                  <c:v>89</c:v>
                </c:pt>
                <c:pt idx="28" formatCode="0.00">
                  <c:v>80.2</c:v>
                </c:pt>
                <c:pt idx="29" formatCode="0.00">
                  <c:v>76.5</c:v>
                </c:pt>
                <c:pt idx="30" formatCode="0.00">
                  <c:v>75.900000000000006</c:v>
                </c:pt>
                <c:pt idx="31" formatCode="0.00">
                  <c:v>72.5</c:v>
                </c:pt>
              </c:numCache>
            </c:numRef>
          </c:val>
          <c:smooth val="0"/>
          <c:extLst>
            <c:ext xmlns:c16="http://schemas.microsoft.com/office/drawing/2014/chart" uri="{C3380CC4-5D6E-409C-BE32-E72D297353CC}">
              <c16:uniqueId val="{00000000-C4DD-4A7A-855F-4E089A9E7BEC}"/>
            </c:ext>
          </c:extLst>
        </c:ser>
        <c:dLbls>
          <c:dLblPos val="t"/>
          <c:showLegendKey val="0"/>
          <c:showVal val="1"/>
          <c:showCatName val="0"/>
          <c:showSerName val="0"/>
          <c:showPercent val="0"/>
          <c:showBubbleSize val="0"/>
        </c:dLbls>
        <c:marker val="1"/>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prstDash val="solid"/>
          </a:ln>
        </c:spPr>
        <c:txPr>
          <a:bodyPr rot="0" vert="horz"/>
          <a:lstStyle/>
          <a:p>
            <a:pPr>
              <a:defRPr sz="500"/>
            </a:pPr>
            <a:endParaRPr lang="fr-FR"/>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a:defRPr/>
                </a:pPr>
                <a:r>
                  <a:rPr lang="nl-BE"/>
                  <a:t>in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prstDash val="solid"/>
          </a:ln>
        </c:spPr>
        <c:txPr>
          <a:bodyPr rot="0" vert="horz"/>
          <a:lstStyle/>
          <a:p>
            <a:pPr>
              <a:defRPr/>
            </a:pPr>
            <a:endParaRPr lang="fr-FR"/>
          </a:p>
        </c:txPr>
        <c:crossAx val="301009920"/>
        <c:crosses val="autoZero"/>
        <c:crossBetween val="between"/>
      </c:valAx>
      <c:spPr>
        <a:noFill/>
        <a:ln w="1963">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BE" sz="1100"/>
              <a:t>Verloop van de ontvangen bestellingen in de meubelhandel </a:t>
            </a:r>
          </a:p>
          <a:p>
            <a:pPr>
              <a:defRPr/>
            </a:pPr>
            <a:r>
              <a:rPr lang="nl-BE" sz="1100"/>
              <a:t>(cumul 8 M 2023 = +11,3%)</a:t>
            </a:r>
            <a:endParaRPr lang="nl-BE"/>
          </a:p>
        </c:rich>
      </c:tx>
      <c:layout>
        <c:manualLayout>
          <c:xMode val="edge"/>
          <c:yMode val="edge"/>
          <c:x val="0.33856792043867406"/>
          <c:y val="1.6869095816464237E-2"/>
        </c:manualLayout>
      </c:layout>
      <c:overlay val="0"/>
    </c:title>
    <c:autoTitleDeleted val="0"/>
    <c:plotArea>
      <c:layout>
        <c:manualLayout>
          <c:layoutTarget val="inner"/>
          <c:xMode val="edge"/>
          <c:yMode val="edge"/>
          <c:x val="0.10127624671916011"/>
          <c:y val="0.10997929290903849"/>
          <c:w val="0.89872371780879601"/>
          <c:h val="0.8518778725580628"/>
        </c:manualLayout>
      </c:layout>
      <c:barChart>
        <c:barDir val="col"/>
        <c:grouping val="clustered"/>
        <c:varyColors val="0"/>
        <c:ser>
          <c:idx val="0"/>
          <c:order val="0"/>
          <c:spPr>
            <a:solidFill>
              <a:srgbClr val="FFC000"/>
            </a:solidFill>
            <a:ln w="25400">
              <a:noFill/>
            </a:ln>
          </c:spPr>
          <c:invertIfNegative val="0"/>
          <c:dLbls>
            <c:numFmt formatCode="#,##0.0" sourceLinked="0"/>
            <c:spPr>
              <a:noFill/>
              <a:ln w="25400">
                <a:noFill/>
              </a:ln>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Blad1!$A$6:$A$37</c:f>
              <c:strCache>
                <c:ptCount val="32"/>
                <c:pt idx="0">
                  <c:v>J 2021</c:v>
                </c:pt>
                <c:pt idx="1">
                  <c:v>F</c:v>
                </c:pt>
                <c:pt idx="2">
                  <c:v>M</c:v>
                </c:pt>
                <c:pt idx="3">
                  <c:v>A</c:v>
                </c:pt>
                <c:pt idx="4">
                  <c:v>M</c:v>
                </c:pt>
                <c:pt idx="5">
                  <c:v>J</c:v>
                </c:pt>
                <c:pt idx="6">
                  <c:v>J</c:v>
                </c:pt>
                <c:pt idx="7">
                  <c:v>A</c:v>
                </c:pt>
                <c:pt idx="8">
                  <c:v>S</c:v>
                </c:pt>
                <c:pt idx="9">
                  <c:v>O</c:v>
                </c:pt>
                <c:pt idx="10">
                  <c:v>N</c:v>
                </c:pt>
                <c:pt idx="11">
                  <c:v>D</c:v>
                </c:pt>
                <c:pt idx="12">
                  <c:v>J 2022</c:v>
                </c:pt>
                <c:pt idx="13">
                  <c:v>F</c:v>
                </c:pt>
                <c:pt idx="14">
                  <c:v>M</c:v>
                </c:pt>
                <c:pt idx="15">
                  <c:v>A</c:v>
                </c:pt>
                <c:pt idx="16">
                  <c:v>M</c:v>
                </c:pt>
                <c:pt idx="17">
                  <c:v>J</c:v>
                </c:pt>
                <c:pt idx="18">
                  <c:v>J</c:v>
                </c:pt>
                <c:pt idx="19">
                  <c:v>A</c:v>
                </c:pt>
                <c:pt idx="20">
                  <c:v>S</c:v>
                </c:pt>
                <c:pt idx="21">
                  <c:v>O</c:v>
                </c:pt>
                <c:pt idx="22">
                  <c:v>N</c:v>
                </c:pt>
                <c:pt idx="23">
                  <c:v>D</c:v>
                </c:pt>
                <c:pt idx="24">
                  <c:v>J 2023</c:v>
                </c:pt>
                <c:pt idx="25">
                  <c:v>F</c:v>
                </c:pt>
                <c:pt idx="26">
                  <c:v>M</c:v>
                </c:pt>
                <c:pt idx="27">
                  <c:v>A</c:v>
                </c:pt>
                <c:pt idx="28">
                  <c:v>M</c:v>
                </c:pt>
                <c:pt idx="29">
                  <c:v>J</c:v>
                </c:pt>
                <c:pt idx="30">
                  <c:v>J</c:v>
                </c:pt>
                <c:pt idx="31">
                  <c:v>A</c:v>
                </c:pt>
              </c:strCache>
            </c:strRef>
          </c:cat>
          <c:val>
            <c:numRef>
              <c:f>Blad1!$B$6:$B$37</c:f>
              <c:numCache>
                <c:formatCode>0.0</c:formatCode>
                <c:ptCount val="32"/>
                <c:pt idx="0">
                  <c:v>-1</c:v>
                </c:pt>
                <c:pt idx="1">
                  <c:v>1</c:v>
                </c:pt>
                <c:pt idx="2">
                  <c:v>114.4</c:v>
                </c:pt>
                <c:pt idx="3">
                  <c:v>383.1</c:v>
                </c:pt>
                <c:pt idx="4">
                  <c:v>23.6</c:v>
                </c:pt>
                <c:pt idx="5">
                  <c:v>-22.1</c:v>
                </c:pt>
                <c:pt idx="6">
                  <c:v>8.8000000000000007</c:v>
                </c:pt>
                <c:pt idx="7">
                  <c:v>-7.8</c:v>
                </c:pt>
                <c:pt idx="8">
                  <c:v>-11.4</c:v>
                </c:pt>
                <c:pt idx="9">
                  <c:v>-13</c:v>
                </c:pt>
                <c:pt idx="10">
                  <c:v>108.3</c:v>
                </c:pt>
                <c:pt idx="11">
                  <c:v>4.9000000000000004</c:v>
                </c:pt>
                <c:pt idx="12">
                  <c:v>6.1</c:v>
                </c:pt>
                <c:pt idx="13">
                  <c:v>-12</c:v>
                </c:pt>
                <c:pt idx="14">
                  <c:v>-14.4</c:v>
                </c:pt>
                <c:pt idx="15">
                  <c:v>19.100000000000001</c:v>
                </c:pt>
                <c:pt idx="16">
                  <c:v>-14.8</c:v>
                </c:pt>
                <c:pt idx="17">
                  <c:v>0.1</c:v>
                </c:pt>
                <c:pt idx="18">
                  <c:v>-10</c:v>
                </c:pt>
                <c:pt idx="19">
                  <c:v>-2.8</c:v>
                </c:pt>
                <c:pt idx="20">
                  <c:v>18.399999999999999</c:v>
                </c:pt>
                <c:pt idx="21">
                  <c:v>7.4</c:v>
                </c:pt>
                <c:pt idx="22">
                  <c:v>-6.3</c:v>
                </c:pt>
                <c:pt idx="23">
                  <c:v>11.9</c:v>
                </c:pt>
                <c:pt idx="24">
                  <c:v>4.7</c:v>
                </c:pt>
                <c:pt idx="25">
                  <c:v>14.2</c:v>
                </c:pt>
                <c:pt idx="26">
                  <c:v>24.6</c:v>
                </c:pt>
                <c:pt idx="27">
                  <c:v>9.1</c:v>
                </c:pt>
                <c:pt idx="28">
                  <c:v>6.8</c:v>
                </c:pt>
                <c:pt idx="29">
                  <c:v>0.7</c:v>
                </c:pt>
                <c:pt idx="30">
                  <c:v>19.899999999999999</c:v>
                </c:pt>
                <c:pt idx="31">
                  <c:v>11.2</c:v>
                </c:pt>
              </c:numCache>
            </c:numRef>
          </c:val>
          <c:extLst>
            <c:ext xmlns:c16="http://schemas.microsoft.com/office/drawing/2014/chart" uri="{C3380CC4-5D6E-409C-BE32-E72D297353CC}">
              <c16:uniqueId val="{00000000-4661-406D-8FD6-90DC5B85C26F}"/>
            </c:ext>
          </c:extLst>
        </c:ser>
        <c:dLbls>
          <c:showLegendKey val="0"/>
          <c:showVal val="0"/>
          <c:showCatName val="0"/>
          <c:showSerName val="0"/>
          <c:showPercent val="0"/>
          <c:showBubbleSize val="0"/>
        </c:dLbls>
        <c:gapWidth val="219"/>
        <c:overlap val="-27"/>
        <c:axId val="2038202928"/>
        <c:axId val="1"/>
      </c:barChart>
      <c:catAx>
        <c:axId val="203820292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fr-F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in %</a:t>
                </a:r>
              </a:p>
            </c:rich>
          </c:tx>
          <c:overlay val="0"/>
        </c:title>
        <c:numFmt formatCode="0" sourceLinked="0"/>
        <c:majorTickMark val="out"/>
        <c:minorTickMark val="none"/>
        <c:tickLblPos val="nextTo"/>
        <c:spPr>
          <a:ln w="9525">
            <a:noFill/>
          </a:ln>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20382029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0.39164</cdr:x>
      <cdr:y>0.36201</cdr:y>
    </cdr:from>
    <cdr:to>
      <cdr:x>0.40825</cdr:x>
      <cdr:y>0.51296</cdr:y>
    </cdr:to>
    <cdr:sp macro="" textlink="">
      <cdr:nvSpPr>
        <cdr:cNvPr id="2" name="ZoneTexte 3">
          <a:extLst xmlns:a="http://schemas.openxmlformats.org/drawingml/2006/main">
            <a:ext uri="{FF2B5EF4-FFF2-40B4-BE49-F238E27FC236}">
              <a16:creationId xmlns:a16="http://schemas.microsoft.com/office/drawing/2014/main" id="{2CD5FDB1-5878-4319-8154-C548E49BC367}"/>
            </a:ext>
          </a:extLst>
        </cdr:cNvPr>
        <cdr:cNvSpPr txBox="1"/>
      </cdr:nvSpPr>
      <cdr:spPr>
        <a:xfrm xmlns:a="http://schemas.openxmlformats.org/drawingml/2006/main">
          <a:off x="4355351" y="1550080"/>
          <a:ext cx="184731" cy="646331"/>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fr-BE" sz="3600" dirty="0">
            <a:highlight>
              <a:srgbClr val="FFFF00"/>
            </a:highlight>
          </a:endParaRPr>
        </a:p>
      </cdr:txBody>
    </cdr:sp>
  </cdr:relSizeAnchor>
  <cdr:relSizeAnchor xmlns:cdr="http://schemas.openxmlformats.org/drawingml/2006/chartDrawing">
    <cdr:from>
      <cdr:x>0</cdr:x>
      <cdr:y>0.00365</cdr:y>
    </cdr:from>
    <cdr:to>
      <cdr:x>0.06338</cdr:x>
      <cdr:y>0.09658</cdr:y>
    </cdr:to>
    <cdr:sp macro="" textlink="">
      <cdr:nvSpPr>
        <cdr:cNvPr id="3" name="ZoneTexte 13">
          <a:extLst xmlns:a="http://schemas.openxmlformats.org/drawingml/2006/main">
            <a:ext uri="{FF2B5EF4-FFF2-40B4-BE49-F238E27FC236}">
              <a16:creationId xmlns:a16="http://schemas.microsoft.com/office/drawing/2014/main" id="{4BE815A8-3EB5-4D0F-9A2E-12355DF5FA89}"/>
            </a:ext>
          </a:extLst>
        </cdr:cNvPr>
        <cdr:cNvSpPr txBox="1"/>
      </cdr:nvSpPr>
      <cdr:spPr>
        <a:xfrm xmlns:a="http://schemas.openxmlformats.org/drawingml/2006/main">
          <a:off x="-903180" y="8996"/>
          <a:ext cx="365100" cy="22900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l" defTabSz="914400" rtl="0" eaLnBrk="1" fontAlgn="auto" latinLnBrk="0" hangingPunct="1">
            <a:lnSpc>
              <a:spcPct val="100000"/>
            </a:lnSpc>
            <a:spcBef>
              <a:spcPts val="0"/>
            </a:spcBef>
            <a:spcAft>
              <a:spcPts val="0"/>
            </a:spcAft>
            <a:buClrTx/>
            <a:buSzTx/>
            <a:buFontTx/>
            <a:buNone/>
            <a:tabLst/>
            <a:defRPr/>
          </a:pPr>
          <a:r>
            <a:rPr kumimoji="0" lang="fr-BE" sz="800" b="1" i="0" u="none" strike="noStrike" kern="1200" cap="none" spc="0" normalizeH="0" baseline="0" noProof="0" dirty="0">
              <a:ln>
                <a:noFill/>
              </a:ln>
              <a:solidFill>
                <a:prstClr val="black"/>
              </a:solidFill>
              <a:effectLst/>
              <a:uLnTx/>
              <a:uFillTx/>
              <a:latin typeface="Calibri" panose="020F0502020204030204"/>
              <a:ea typeface="+mn-ea"/>
              <a:cs typeface="+mn-cs"/>
            </a:rPr>
            <a:t>In %</a:t>
          </a:r>
        </a:p>
      </cdr:txBody>
    </cdr:sp>
  </cdr:relSizeAnchor>
  <cdr:relSizeAnchor xmlns:cdr="http://schemas.openxmlformats.org/drawingml/2006/chartDrawing">
    <cdr:from>
      <cdr:x>0</cdr:x>
      <cdr:y>0</cdr:y>
    </cdr:from>
    <cdr:to>
      <cdr:x>1</cdr:x>
      <cdr:y>0.1137</cdr:y>
    </cdr:to>
    <cdr:sp macro="" textlink="">
      <cdr:nvSpPr>
        <cdr:cNvPr id="4" name="ZoneTexte 11"/>
        <cdr:cNvSpPr txBox="1"/>
      </cdr:nvSpPr>
      <cdr:spPr>
        <a:xfrm xmlns:a="http://schemas.openxmlformats.org/drawingml/2006/main">
          <a:off x="0" y="0"/>
          <a:ext cx="5760085"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Groeivoeten</a:t>
          </a:r>
          <a:r>
            <a:rPr kumimoji="0" lang="fr-BE" sz="1200" b="1" i="0" u="none" strike="noStrike" kern="1200" cap="none" spc="0" normalizeH="0" baseline="0" noProof="0" dirty="0">
              <a:ln>
                <a:noFill/>
              </a:ln>
              <a:solidFill>
                <a:srgbClr val="3E3F2C"/>
              </a:solidFill>
              <a:effectLst/>
              <a:uLnTx/>
              <a:uFillTx/>
              <a:latin typeface="Calibri" panose="020F0502020204030204"/>
              <a:ea typeface="+mn-ea"/>
              <a:cs typeface="+mn-cs"/>
            </a:rPr>
            <a:t> van de </a:t>
          </a: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omzet</a:t>
          </a:r>
          <a:r>
            <a:rPr kumimoji="0" lang="fr-BE" sz="1200" b="1" i="0" u="none" strike="noStrike" kern="1200" cap="none" spc="0" normalizeH="0" baseline="0" noProof="0" dirty="0">
              <a:ln>
                <a:noFill/>
              </a:ln>
              <a:solidFill>
                <a:srgbClr val="3E3F2C"/>
              </a:solidFill>
              <a:effectLst/>
              <a:uLnTx/>
              <a:uFillTx/>
              <a:latin typeface="Calibri" panose="020F0502020204030204"/>
              <a:ea typeface="+mn-ea"/>
              <a:cs typeface="+mn-cs"/>
            </a:rPr>
            <a:t> in de Belgische </a:t>
          </a: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meubelindustrie</a:t>
          </a:r>
          <a:endParaRPr kumimoji="0" lang="nl-BE" sz="1200" b="1" i="0" u="none" strike="noStrike" kern="1200" cap="none" spc="0" normalizeH="0" baseline="0" noProof="0" dirty="0">
            <a:ln>
              <a:noFill/>
            </a:ln>
            <a:solidFill>
              <a:srgbClr val="3E3F2C"/>
            </a:solidFill>
            <a:effectLst/>
            <a:uLnTx/>
            <a:uFillTx/>
            <a:latin typeface="Calibri" panose="020F0502020204030204"/>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14</Pages>
  <Words>4162</Words>
  <Characters>22893</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Thomas Hibert</cp:lastModifiedBy>
  <cp:revision>19</cp:revision>
  <cp:lastPrinted>2023-11-05T09:23:00Z</cp:lastPrinted>
  <dcterms:created xsi:type="dcterms:W3CDTF">2023-11-01T15:45:00Z</dcterms:created>
  <dcterms:modified xsi:type="dcterms:W3CDTF">2023-11-06T08:17:00Z</dcterms:modified>
</cp:coreProperties>
</file>